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6"/>
        <w:pBdr/>
        <w:spacing/>
        <w:ind/>
        <w:jc w:val="both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251658241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45085</wp:posOffset>
                </wp:positionV>
                <wp:extent cx="2938780" cy="2528030"/>
                <wp:effectExtent l="6350" t="6350" r="6350" b="635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2938779" cy="25280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1495" cy="571684"/>
                                      <wp:effectExtent l="0" t="0" r="0" b="0"/>
                                      <wp:docPr id="2" name="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02641975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1495" cy="57168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      <v:imagedata r:id="rId10" o:title=""/>
                                      <o:lock v:ext="edit" rotation="t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Администрация Шарьинского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муниципального района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Костромской области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ул. Октябрьская, д.21,  г. Шарья,  157500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тел. (49449) 5-89-81, факс 5-03-50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-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mail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sharya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@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kostroma.gov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ru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ОКПО 04030707, ОГРН 1024402032600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ИНН/КПП 4430001003/443001001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 «30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»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августа 2024 года  № 2790/02-05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/>
                            </w:pPr>
                            <w:r/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58241;o:allowoverlap:true;o:allowincell:true;mso-position-horizontal-relative:text;margin-left:3.75pt;mso-position-horizontal:absolute;mso-position-vertical-relative:text;margin-top:3.55pt;mso-position-vertical:absolute;width:231.40pt;height:199.06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Style w:val="926"/>
                        <w:pBdr/>
                        <w:spacing/>
                        <w:ind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rFonts w:ascii="Calibri" w:hAnsi="Calibri" w:eastAsia="Calibri" w:cs="Calibri"/>
                          <w:sz w:val="20"/>
                          <w:szCs w:val="20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1495" cy="571684"/>
                                <wp:effectExtent l="0" t="0" r="0" b="0"/>
                                <wp:docPr id="2" name="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02641975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1495" cy="5716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<v:imagedata r:id="rId10" o:title=""/>
                                <o:lock v:ext="edit" rotation="t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Администрация Шарьинского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муниципального района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Костромской области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ул. Октябрьская, д.21,  г. Шарья,  157500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тел. (49449) 5-89-81, факс 5-03-50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E</w:t>
                      </w:r>
                      <w:r>
                        <w:rPr>
                          <w:sz w:val="24"/>
                          <w:szCs w:val="24"/>
                        </w:rPr>
                        <w:t xml:space="preserve">-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mail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sharya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@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kostroma.gov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ru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sz w:val="24"/>
                          <w:szCs w:val="24"/>
                        </w:rPr>
                        <w:t xml:space="preserve">ОКПО 04030707, ОГРН 1024402032600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ИНН/КПП 4430001003/443001001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от  «30</w:t>
                      </w:r>
                      <w:r>
                        <w:rPr>
                          <w:sz w:val="24"/>
                          <w:szCs w:val="24"/>
                        </w:rPr>
                        <w:t xml:space="preserve">» </w:t>
                      </w:r>
                      <w:r>
                        <w:rPr>
                          <w:sz w:val="24"/>
                          <w:szCs w:val="24"/>
                        </w:rPr>
                        <w:t xml:space="preserve">августа 2024 года  № 2790/02-05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/>
                      </w:pPr>
                      <w:r/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</w:r>
      <w:r/>
    </w:p>
    <w:p>
      <w:pPr>
        <w:pStyle w:val="926"/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68580</wp:posOffset>
                </wp:positionV>
                <wp:extent cx="2923540" cy="1961515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23539" cy="1961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Российской Федерации для  размещения информации о проведении торгов  </w:t>
                            </w:r>
                            <w:hyperlink r:id="rId11" w:tooltip="http://www.torgi.gov.ru/" w:history="1"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www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torgi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gov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ru</w:t>
                              </w:r>
                            </w:hyperlink>
                            <w:r>
                              <w:rPr>
                                <w:sz w:val="28"/>
                                <w:szCs w:val="28"/>
                                <w:lang w:bidi="en-US"/>
                              </w:rPr>
                              <w:t xml:space="preserve">.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Шарьинского муниципального района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szCs w:val="28"/>
                              </w:rPr>
                            </w:r>
                            <w:r>
                              <w:rPr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524288;o:allowoverlap:true;o:allowincell:true;mso-position-horizontal-relative:text;margin-left:259.20pt;mso-position-horizontal:absolute;mso-position-vertical-relative:text;margin-top:5.40pt;mso-position-vertical:absolute;width:230.20pt;height:154.45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Bdr/>
                        <w:spacing/>
                        <w:ind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Bdr/>
                        <w:spacing/>
                        <w:ind/>
                        <w:jc w:val="center"/>
                        <w:rPr>
                          <w:highlight w:val="none"/>
                        </w:rPr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  <w:t xml:space="preserve">Официальный сайт Российской Федерации для  размещения информации о проведении торгов  </w:t>
                      </w:r>
                      <w:hyperlink r:id="rId11" w:tooltip="http://www.torgi.gov.ru/" w:history="1"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www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torgi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gov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ru</w:t>
                        </w:r>
                      </w:hyperlink>
                      <w:r>
                        <w:rPr>
                          <w:sz w:val="28"/>
                          <w:szCs w:val="28"/>
                          <w:lang w:bidi="en-US"/>
                        </w:rPr>
                        <w:t xml:space="preserve">.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Cs w:val="28"/>
                          <w:highlight w:val="none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  <w:t xml:space="preserve">Официальный сайт Шарьинского муниципального района</w:t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/>
                      </w:pPr>
                      <w:r>
                        <w:rPr>
                          <w:szCs w:val="28"/>
                        </w:rPr>
                      </w:r>
                      <w:r>
                        <w:rPr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</w:t>
      </w:r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 w:right="0" w:firstLine="0" w:left="708"/>
        <w:rPr/>
      </w:pPr>
      <w:r>
        <w:rPr>
          <w:rFonts w:cs="Tahoma"/>
        </w:rPr>
      </w:r>
      <w:r>
        <w:rPr>
          <w:rFonts w:cs="Tahoma"/>
        </w:rPr>
      </w:r>
      <w:r/>
    </w:p>
    <w:p>
      <w:pPr>
        <w:pStyle w:val="926"/>
        <w:pBdr/>
        <w:spacing/>
        <w:ind w:right="0" w:firstLine="0" w:left="708"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rPr/>
      </w:pPr>
      <w:r>
        <w:t xml:space="preserve">       </w:t>
      </w:r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/>
        <w:jc w:val="both"/>
        <w:rPr/>
      </w:pPr>
      <w:r>
        <w:rPr>
          <w:sz w:val="26"/>
          <w:szCs w:val="26"/>
        </w:rPr>
        <w:t xml:space="preserve">                  </w:t>
      </w:r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>
          <w:rFonts w:cs="Tahoma"/>
          <w:b/>
          <w:bCs/>
        </w:rPr>
      </w:pPr>
      <w:r>
        <w:rPr>
          <w:rFonts w:cs="Tahoma"/>
          <w:b/>
          <w:bCs/>
        </w:rPr>
      </w:r>
      <w:r>
        <w:rPr>
          <w:rFonts w:cs="Tahoma"/>
          <w:b/>
          <w:bCs/>
        </w:rPr>
      </w:r>
      <w:r>
        <w:rPr>
          <w:rFonts w:cs="Tahoma"/>
          <w:b/>
          <w:bCs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Извещение о проведении аукциона по продаже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b/>
          <w:bCs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земельного участка в электронной форме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2"/>
        <w:pBdr/>
        <w:spacing w:line="260" w:lineRule="exact"/>
        <w:ind w:firstLine="426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В соответстви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/>
          <w:sz w:val="28"/>
          <w:szCs w:val="28"/>
        </w:rPr>
        <w:t xml:space="preserve">Шарьинского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Костромской  области </w:t>
      </w:r>
      <w:r>
        <w:rPr>
          <w:rFonts w:ascii="Times New Roman" w:hAnsi="Times New Roman"/>
          <w:sz w:val="28"/>
          <w:szCs w:val="28"/>
        </w:rPr>
        <w:t xml:space="preserve">от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26.08</w:t>
      </w:r>
      <w:r>
        <w:rPr>
          <w:rFonts w:ascii="Times New Roman" w:hAnsi="Times New Roman"/>
          <w:sz w:val="28"/>
          <w:szCs w:val="28"/>
        </w:rPr>
        <w:t xml:space="preserve">.2</w:t>
      </w:r>
      <w:r>
        <w:rPr>
          <w:rFonts w:ascii="Times New Roman" w:hAnsi="Times New Roman"/>
          <w:sz w:val="28"/>
          <w:szCs w:val="28"/>
        </w:rPr>
        <w:t xml:space="preserve">02</w:t>
      </w:r>
      <w:r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326 </w:t>
      </w:r>
      <w:r>
        <w:rPr>
          <w:rFonts w:ascii="Times New Roman" w:hAnsi="Times New Roman"/>
          <w:sz w:val="28"/>
          <w:szCs w:val="28"/>
        </w:rPr>
        <w:t xml:space="preserve">администрация Шарьинского муниципального района, </w:t>
      </w:r>
      <w:r>
        <w:rPr>
          <w:rFonts w:ascii="Times New Roman" w:hAnsi="Times New Roman"/>
          <w:sz w:val="28"/>
          <w:szCs w:val="28"/>
        </w:rPr>
        <w:t xml:space="preserve">являющаяся организатором аукцион</w:t>
      </w:r>
      <w:r>
        <w:rPr>
          <w:rFonts w:ascii="Times New Roman" w:hAnsi="Times New Roman"/>
          <w:sz w:val="28"/>
          <w:szCs w:val="28"/>
        </w:rPr>
        <w:t xml:space="preserve">а,  проводит </w:t>
      </w:r>
      <w:r>
        <w:rPr>
          <w:rFonts w:ascii="Times New Roman" w:hAnsi="Times New Roman"/>
          <w:sz w:val="28"/>
          <w:szCs w:val="28"/>
        </w:rPr>
        <w:t xml:space="preserve">электронный </w:t>
      </w:r>
      <w:r>
        <w:rPr>
          <w:rFonts w:ascii="Times New Roman" w:hAnsi="Times New Roman"/>
          <w:sz w:val="28"/>
          <w:szCs w:val="28"/>
        </w:rPr>
        <w:t xml:space="preserve">аукцион</w:t>
      </w:r>
      <w:r>
        <w:rPr>
          <w:rFonts w:ascii="Times New Roman" w:hAnsi="Times New Roman"/>
          <w:sz w:val="28"/>
          <w:szCs w:val="28"/>
        </w:rPr>
        <w:t xml:space="preserve"> по продаже в собственность земельного участка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</w:rPr>
        <w:t xml:space="preserve">собственность на который не разграничена</w:t>
      </w:r>
      <w:r>
        <w:rPr>
          <w:rFonts w:ascii="Times New Roman" w:hAnsi="Times New Roman" w:cs="Times New Roman"/>
          <w:sz w:val="28"/>
          <w:szCs w:val="28"/>
        </w:rPr>
        <w:t xml:space="preserve"> (далее -аукцион)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widowControl w:val="false"/>
        <w:pBdr/>
        <w:spacing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none"/>
        </w:rPr>
        <w:t xml:space="preserve">1. Организ</w:t>
      </w:r>
      <w:r>
        <w:rPr>
          <w:b/>
          <w:bCs/>
          <w:sz w:val="28"/>
          <w:szCs w:val="28"/>
          <w:u w:val="none"/>
        </w:rPr>
        <w:t xml:space="preserve">атор аукциона: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 xml:space="preserve"> Администрация Шарьинского муниципального района Костромской области, место нахождения</w:t>
      </w:r>
      <w:r>
        <w:rPr>
          <w:rFonts w:eastAsia="Times New Roman" w:cs="Tahoma"/>
          <w:sz w:val="28"/>
          <w:szCs w:val="28"/>
        </w:rPr>
        <w:t xml:space="preserve">: 157500, Костромская область,  город Шарья, улица Октябрьская, 21, телефон 8(49449) 5-89-81, </w:t>
      </w:r>
      <w:r>
        <w:rPr>
          <w:rFonts w:eastAsia="Times New Roman" w:cs="Tahoma"/>
          <w:sz w:val="28"/>
          <w:szCs w:val="28"/>
          <w:lang w:val="en-US"/>
        </w:rPr>
        <w:t xml:space="preserve">E</w:t>
      </w:r>
      <w:r>
        <w:rPr>
          <w:rFonts w:eastAsia="Times New Roman" w:cs="Tahoma"/>
          <w:sz w:val="28"/>
          <w:szCs w:val="28"/>
        </w:rPr>
        <w:t xml:space="preserve">-</w:t>
      </w:r>
      <w:r>
        <w:rPr>
          <w:rFonts w:eastAsia="Times New Roman" w:cs="Tahoma"/>
          <w:sz w:val="28"/>
          <w:szCs w:val="28"/>
          <w:lang w:val="en-US"/>
        </w:rPr>
        <w:t xml:space="preserve">mail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  <w:lang w:val="en-US"/>
        </w:rPr>
        <w:t xml:space="preserve">sharya@kostroma.gov.ru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tabs>
          <w:tab w:val="left" w:leader="none" w:pos="4515"/>
        </w:tabs>
        <w:spacing/>
        <w:ind w:right="0"/>
        <w:jc w:val="both"/>
        <w:rPr/>
      </w:pPr>
      <w:r>
        <w:rPr>
          <w:b/>
          <w:bCs/>
          <w:sz w:val="28"/>
          <w:szCs w:val="28"/>
        </w:rPr>
        <w:t xml:space="preserve">2. Предмет аукциона:</w:t>
      </w:r>
      <w:r>
        <w:rPr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земельн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ый уча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сток категории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земли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населенных пунктов с кадастровым номером 44:24:130101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:1048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, имеющий ме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стоположение: Российская Федерация, Костром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ская область, Шарьинский муниципальный район, Шангское сельское поселение, с. Николо-Шанга, ул. Новая, з/у 25а с видом разрешенного использования -  для ведения личного подсобного хозяйства (приусадебный земельный участок) общей площадью 146 кв.м</w:t>
      </w:r>
      <w:r>
        <w:t xml:space="preserve">.</w:t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Начальная цена предмета аукциона (продажа права собственности)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в соответствии с заключением о произведенной работе по оценке рыночной стоимости земельного участка, выполненного ООО  НП «Агентство Оценки»  по состоянию на 08 августа 2024 года, отчет № 8025, составляет </w:t>
      </w:r>
      <w:r>
        <w:rPr>
          <w:b w:val="0"/>
          <w:bCs w:val="0"/>
          <w:sz w:val="28"/>
          <w:szCs w:val="28"/>
        </w:rPr>
        <w:t xml:space="preserve"> -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9000 рублей (девять тысяч рублей).  Сумма задатка – 1800 руб. 00 коп. (одна тысяча восемьсот рублей),  шаг аукциона - 270 руб. 00 коп. (двести семьдесят рублей).</w:t>
      </w:r>
      <w:r>
        <w:rPr>
          <w:rFonts w:eastAsia="Times New Roman" w:cs="Times New Roman"/>
        </w:rPr>
      </w:r>
      <w:r>
        <w:rPr>
          <w:rFonts w:eastAsia="Times New Roman" w:cs="Times New Roman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/>
          <w:bCs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3. </w:t>
      </w:r>
      <w:r>
        <w:rPr>
          <w:b/>
          <w:bCs/>
          <w:sz w:val="28"/>
          <w:szCs w:val="28"/>
        </w:rPr>
        <w:t xml:space="preserve">Сведения об  обременениях, особых условиях использования: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/>
      </w:pPr>
      <w:r>
        <w:rPr>
          <w:b w:val="0"/>
          <w:bCs w:val="0"/>
          <w:sz w:val="28"/>
          <w:szCs w:val="28"/>
        </w:rPr>
        <w:t xml:space="preserve">имеются ограни</w:t>
      </w:r>
      <w:r>
        <w:rPr>
          <w:b w:val="0"/>
          <w:bCs w:val="0"/>
          <w:sz w:val="28"/>
          <w:szCs w:val="28"/>
        </w:rPr>
        <w:t xml:space="preserve">чения в использовании земельного участка в соответствии со ст. 56 Земельного кодекса Российской Федерации: срок действия с 25.06.2024г. , приказ от 29.12.2014 г.№ 623, выдан Департаментом природных ресурсов о охраны окружающей среды Костромской области.   </w:t>
      </w:r>
      <w:r/>
      <w:r/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/>
      </w:pPr>
      <w:r>
        <w:rPr>
          <w:b w:val="0"/>
          <w:bCs w:val="0"/>
          <w:sz w:val="28"/>
          <w:szCs w:val="28"/>
        </w:rPr>
        <w:t xml:space="preserve">Содержание ограничения:</w:t>
      </w:r>
      <w:r/>
      <w:r/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/>
      </w:pP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ограничения по использованию земельного участка и мероприятия по улучшению санитарного состояния на территории СЗО и предупреждению загрязнения  водозабора подземных вод по третьему поясу ЗСО, п. 3.2.2. подраздела 3.2. раздела </w:t>
      </w:r>
      <w:r>
        <w:rPr>
          <w:rFonts w:eastAsia="Times New Roman" w:cs="Times New Roman"/>
          <w:b w:val="0"/>
          <w:bCs w:val="0"/>
          <w:sz w:val="28"/>
          <w:szCs w:val="28"/>
          <w:lang w:val="en-US" w:eastAsia="ar-SA"/>
        </w:rPr>
        <w:t xml:space="preserve">III </w:t>
      </w:r>
      <w:r>
        <w:rPr>
          <w:rFonts w:eastAsia="Times New Roman" w:cs="Times New Roman"/>
          <w:b w:val="0"/>
          <w:bCs w:val="0"/>
          <w:sz w:val="28"/>
          <w:szCs w:val="28"/>
          <w:lang w:val="ru-RU" w:eastAsia="ar-SA"/>
        </w:rPr>
        <w:t xml:space="preserve">СанПин  2.1.4. 1110-02 «Зоны санитарной охраны источников водоснабжения и водопроводов питьевого назначения». Правила и режим хозяйственного </w:t>
      </w:r>
      <w:r>
        <w:rPr>
          <w:rFonts w:eastAsia="Times New Roman" w:cs="Times New Roman"/>
          <w:b w:val="0"/>
          <w:bCs w:val="0"/>
          <w:sz w:val="28"/>
          <w:szCs w:val="28"/>
          <w:lang w:val="ru-RU" w:eastAsia="ar-SA"/>
        </w:rPr>
        <w:t xml:space="preserve">использования </w:t>
      </w:r>
      <w:r>
        <w:rPr>
          <w:rFonts w:eastAsia="Times New Roman" w:cs="Times New Roman"/>
          <w:b w:val="0"/>
          <w:bCs w:val="0"/>
          <w:sz w:val="28"/>
          <w:szCs w:val="28"/>
          <w:lang w:val="ru-RU" w:eastAsia="ar-SA"/>
        </w:rPr>
        <w:t xml:space="preserve">территорий, входящих в зоны санитарной охраны водозабора из поверхностного водного объекта (р. Ветлуга, г.Шарья). Реестровый номер границы: 44:00-6.634; зона санитарной охраны водозабора из поверхностного водного объекта (р. Ветлуга), 3 пояс.</w:t>
      </w:r>
      <w:r/>
      <w:r/>
    </w:p>
    <w:p>
      <w:pPr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highlight w:val="none"/>
        </w:rPr>
      </w:pPr>
      <w:r>
        <w:rPr>
          <w:rFonts w:eastAsia="Times New Roman" w:cs="Times New Roman"/>
          <w:b w:val="0"/>
          <w:bCs w:val="0"/>
          <w:sz w:val="28"/>
          <w:szCs w:val="28"/>
          <w:highlight w:val="none"/>
          <w:lang w:val="ru-RU" w:eastAsia="ar-SA"/>
        </w:rPr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val="ru-RU" w:eastAsia="ar-SA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pPr>
      <w:r>
        <w:rPr>
          <w:rFonts w:eastAsia="Times New Roman" w:cs="Times New Roman"/>
          <w:b/>
          <w:bCs/>
          <w:sz w:val="28"/>
          <w:szCs w:val="28"/>
          <w:lang w:eastAsia="ar-SA"/>
        </w:rPr>
        <w:t xml:space="preserve">4. Сведения о технических условиях подключения объекта капитального строительства к сетям инженерно-технического обеспечения и о максимально и (</w:t>
      </w:r>
      <w:r>
        <w:rPr>
          <w:rFonts w:eastAsia="Times New Roman" w:cs="Times New Roman"/>
          <w:b/>
          <w:bCs/>
          <w:sz w:val="28"/>
          <w:szCs w:val="28"/>
          <w:lang w:eastAsia="ar-SA"/>
        </w:rPr>
        <w:t xml:space="preserve">или) минимально допустимых параметрах разрешенного строительства: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pP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по основанию п.п. 4 п. 3 ; п.п.4 п. 21 ст. 39.11 ЗК РФ -  не указываются (в соответствии с основным видом разрешенного использования не предусматривается строительство капитального объекта)</w:t>
      </w:r>
      <w:r/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Место, дата, время и порядок проведения аукциона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Аукцион будет проводиться </w:t>
      </w:r>
      <w:r>
        <w:rPr>
          <w:b/>
          <w:bCs/>
          <w:sz w:val="28"/>
          <w:szCs w:val="28"/>
        </w:rPr>
        <w:t xml:space="preserve">25 октября </w:t>
      </w:r>
      <w:r>
        <w:rPr>
          <w:b/>
          <w:bCs/>
          <w:sz w:val="28"/>
          <w:szCs w:val="28"/>
        </w:rPr>
        <w:t xml:space="preserve">2024</w:t>
      </w:r>
      <w:r>
        <w:rPr>
          <w:sz w:val="28"/>
          <w:szCs w:val="28"/>
        </w:rPr>
        <w:t xml:space="preserve"> г. в 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-00 часов</w:t>
      </w:r>
      <w:r>
        <w:rPr>
          <w:sz w:val="28"/>
          <w:szCs w:val="28"/>
        </w:rPr>
        <w:t xml:space="preserve"> (время московское) на электронной площадке ООО «РТС-тендер» </w:t>
      </w:r>
      <w:r>
        <w:rPr>
          <w:sz w:val="28"/>
          <w:szCs w:val="28"/>
        </w:rPr>
        <w:t xml:space="preserve"> </w:t>
      </w:r>
      <w:hyperlink r:id="rId12" w:tooltip="https://www.rts-tender.ru/" w:history="1">
        <w:r>
          <w:rPr>
            <w:rStyle w:val="934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 в информационно-телекоммуникационной сети «Интернет». Аукцион проводится в порядке, установленном статьями 39.11, 39.12 и 39.13 Земельного кодекса Российской Федерации.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</w:t>
      </w:r>
      <w:r>
        <w:rPr>
          <w:sz w:val="28"/>
          <w:szCs w:val="28"/>
        </w:rPr>
        <w:t xml:space="preserve">.  </w:t>
      </w:r>
      <w:r>
        <w:rPr>
          <w:b/>
          <w:sz w:val="28"/>
          <w:szCs w:val="28"/>
        </w:rPr>
        <w:t xml:space="preserve">Форма торгов: </w:t>
      </w:r>
      <w:r>
        <w:rPr>
          <w:sz w:val="28"/>
          <w:szCs w:val="28"/>
        </w:rPr>
        <w:t xml:space="preserve">Торги проводятся в форме аукциона (открытого по форме подачи предложений</w:t>
      </w:r>
      <w:r>
        <w:rPr>
          <w:sz w:val="28"/>
          <w:szCs w:val="28"/>
        </w:rPr>
        <w:t xml:space="preserve"> в ходе проведения торгов) </w:t>
      </w:r>
      <w:r>
        <w:rPr>
          <w:sz w:val="28"/>
          <w:szCs w:val="28"/>
        </w:rPr>
        <w:t xml:space="preserve">в электронной форме на </w:t>
      </w:r>
      <w:r>
        <w:rPr>
          <w:iCs/>
          <w:sz w:val="28"/>
          <w:szCs w:val="28"/>
        </w:rPr>
        <w:t xml:space="preserve">электронной</w:t>
      </w:r>
      <w:r>
        <w:rPr>
          <w:sz w:val="28"/>
          <w:szCs w:val="28"/>
        </w:rPr>
        <w:t xml:space="preserve"> площадке, находящейся в информационно-телекоммуникационной сети Интернет по адресу: </w:t>
      </w:r>
      <w:hyperlink r:id="rId13" w:tooltip="https://www.rts-tender.ru/" w:history="1">
        <w:r>
          <w:rPr>
            <w:rStyle w:val="934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Оператор электронной площадки – </w:t>
      </w:r>
      <w:r>
        <w:rPr>
          <w:sz w:val="28"/>
          <w:szCs w:val="28"/>
          <w:shd w:val="clear" w:color="auto" w:fill="fbfbfb"/>
        </w:rPr>
        <w:t xml:space="preserve">Общество с ограниченной ответственностью  «РТС-тендер», находящееся в информационно-телекоммуникационной сети Интернет по адресу: </w:t>
      </w:r>
      <w:hyperlink r:id="rId14" w:tooltip="https://www.rts-tender.ru/" w:history="1">
        <w:r>
          <w:rPr>
            <w:rStyle w:val="934"/>
            <w:sz w:val="28"/>
            <w:szCs w:val="28"/>
            <w:shd w:val="clear" w:color="auto" w:fill="fbfbfb"/>
          </w:rPr>
          <w:t xml:space="preserve">https://www.rts-tender.ru/</w:t>
        </w:r>
      </w:hyperlink>
      <w:r>
        <w:rPr>
          <w:sz w:val="28"/>
          <w:szCs w:val="28"/>
        </w:rPr>
        <w:t xml:space="preserve"> - (далее - Оператор электронной площадки).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адрес: </w:t>
      </w:r>
      <w:r>
        <w:rPr>
          <w:sz w:val="28"/>
          <w:szCs w:val="28"/>
          <w:shd w:val="clear" w:color="auto" w:fill="fbfbfb"/>
        </w:rPr>
        <w:t xml:space="preserve">121151, г. Москва, наб. Тараса Шевченко, д. 23А, сектор А, 24 этаж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Контакты: </w:t>
      </w:r>
      <w:hyperlink r:id="rId15" w:tooltip="mailto:info@rts-tender.ru" w:history="1">
        <w:r>
          <w:rPr>
            <w:rStyle w:val="934"/>
            <w:sz w:val="28"/>
            <w:szCs w:val="28"/>
            <w:shd w:val="clear" w:color="auto" w:fill="ffffff"/>
          </w:rPr>
          <w:t xml:space="preserve">info@rts-tender.ru</w:t>
        </w:r>
      </w:hyperlink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540"/>
        </w:tabs>
        <w:spacing/>
        <w:ind/>
        <w:jc w:val="left"/>
        <w:outlineLvl w:val="0"/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8. </w:t>
      </w:r>
      <w:r>
        <w:rPr>
          <w:b/>
          <w:bCs/>
          <w:sz w:val="28"/>
          <w:szCs w:val="28"/>
        </w:rPr>
        <w:t xml:space="preserve"> Место и </w:t>
      </w:r>
      <w:r>
        <w:rPr>
          <w:b/>
          <w:sz w:val="28"/>
          <w:szCs w:val="28"/>
        </w:rPr>
        <w:t xml:space="preserve">срок подачи заявок: </w:t>
      </w:r>
      <w:r>
        <w:rPr>
          <w:sz w:val="28"/>
          <w:szCs w:val="28"/>
        </w:rPr>
        <w:t xml:space="preserve"> оператору электронной площадки ООО «РТС-тендер» </w:t>
      </w:r>
      <w:hyperlink r:id="rId16" w:tooltip="https://www.rts-tender.ru/" w:history="1">
        <w:r>
          <w:rPr>
            <w:rStyle w:val="934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  в сети «Интернет»: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начало приема заявок: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25 сентября </w:t>
      </w:r>
      <w:r>
        <w:rPr>
          <w:b/>
          <w:sz w:val="28"/>
          <w:szCs w:val="28"/>
          <w:shd w:val="clear" w:color="auto" w:fill="ffffff"/>
        </w:rPr>
        <w:t xml:space="preserve">2024 </w:t>
      </w:r>
      <w:r>
        <w:rPr>
          <w:b/>
          <w:sz w:val="28"/>
          <w:szCs w:val="28"/>
          <w:shd w:val="clear" w:color="auto" w:fill="ffffff"/>
        </w:rPr>
        <w:t xml:space="preserve">г. </w:t>
      </w:r>
      <w:r>
        <w:rPr>
          <w:b/>
          <w:sz w:val="28"/>
          <w:szCs w:val="28"/>
          <w:shd w:val="clear" w:color="auto" w:fill="ffffff"/>
        </w:rPr>
        <w:t xml:space="preserve">с</w:t>
      </w:r>
      <w:r>
        <w:t xml:space="preserve"> </w:t>
      </w:r>
      <w:r>
        <w:rPr>
          <w:b/>
          <w:sz w:val="28"/>
          <w:szCs w:val="28"/>
          <w:shd w:val="clear" w:color="auto" w:fill="ffffff"/>
        </w:rPr>
        <w:t xml:space="preserve"> 08 час. 00 мин. (время московское)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окончание приема заявок: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 23 октября </w:t>
      </w:r>
      <w:r>
        <w:rPr>
          <w:b/>
          <w:sz w:val="28"/>
          <w:szCs w:val="28"/>
          <w:shd w:val="clear" w:color="auto" w:fill="ffffff"/>
        </w:rPr>
        <w:t xml:space="preserve"> 2024 </w:t>
      </w:r>
      <w:r>
        <w:rPr>
          <w:b/>
          <w:sz w:val="28"/>
          <w:szCs w:val="28"/>
          <w:shd w:val="clear" w:color="auto" w:fill="ffffff"/>
        </w:rPr>
        <w:t xml:space="preserve">г. </w:t>
      </w:r>
      <w:r>
        <w:rPr>
          <w:b/>
          <w:sz w:val="28"/>
          <w:szCs w:val="28"/>
          <w:shd w:val="clear" w:color="auto" w:fill="ffffff"/>
        </w:rPr>
        <w:t xml:space="preserve">до 1</w:t>
      </w:r>
      <w:r>
        <w:rPr>
          <w:b/>
          <w:sz w:val="28"/>
          <w:szCs w:val="28"/>
          <w:shd w:val="clear" w:color="auto" w:fill="ffffff"/>
        </w:rPr>
        <w:t xml:space="preserve">6 час. 00 мин. (время московское)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рассмотрение заявок (определение участников):</w:t>
      </w:r>
      <w:r>
        <w:rPr>
          <w:b/>
          <w:sz w:val="28"/>
          <w:szCs w:val="28"/>
          <w:shd w:val="clear" w:color="auto" w:fill="ffffff"/>
        </w:rPr>
        <w:t xml:space="preserve">  </w:t>
      </w:r>
      <w:r>
        <w:rPr>
          <w:b/>
          <w:sz w:val="28"/>
          <w:szCs w:val="28"/>
          <w:shd w:val="clear" w:color="auto" w:fill="ffffff"/>
        </w:rPr>
        <w:t xml:space="preserve">24 октября</w:t>
      </w:r>
      <w:r>
        <w:rPr>
          <w:b/>
          <w:sz w:val="28"/>
          <w:szCs w:val="28"/>
          <w:shd w:val="clear" w:color="auto" w:fill="ffffff"/>
        </w:rPr>
        <w:t xml:space="preserve"> 2024</w:t>
      </w:r>
      <w:r>
        <w:rPr>
          <w:b/>
          <w:sz w:val="28"/>
          <w:szCs w:val="28"/>
          <w:shd w:val="clear" w:color="auto" w:fill="ffffff"/>
        </w:rPr>
        <w:t xml:space="preserve"> г.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</w:r>
      <w:r>
        <w:rPr>
          <w:b/>
          <w:bCs/>
          <w:sz w:val="28"/>
          <w:szCs w:val="28"/>
        </w:rPr>
        <w:t xml:space="preserve">аукцион</w:t>
      </w:r>
      <w:r>
        <w:rPr>
          <w:sz w:val="28"/>
          <w:szCs w:val="28"/>
        </w:rPr>
        <w:t xml:space="preserve"> - </w:t>
      </w:r>
      <w:bookmarkStart w:id="0" w:name="Par2"/>
      <w:r>
        <w:rPr>
          <w:sz w:val="28"/>
          <w:szCs w:val="28"/>
        </w:rPr>
      </w:r>
      <w:bookmarkEnd w:id="0"/>
      <w:r>
        <w:rPr>
          <w:b/>
          <w:bCs/>
          <w:sz w:val="28"/>
          <w:szCs w:val="28"/>
        </w:rPr>
        <w:t xml:space="preserve">25  октября</w:t>
      </w:r>
      <w:r>
        <w:rPr>
          <w:b/>
          <w:bCs/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г. в 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-00 часов</w:t>
      </w:r>
      <w:r>
        <w:rPr>
          <w:sz w:val="28"/>
          <w:szCs w:val="28"/>
        </w:rPr>
        <w:t xml:space="preserve"> (время московское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9.  Форма заявки на участие в аукционе, порядок приема, адрес места приема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доступа к участию в электронном аукционе Претендентам необходимо пройти процедуру регистрации на электронной торговой площадке</w:t>
      </w:r>
      <w:r>
        <w:rPr>
          <w:sz w:val="28"/>
          <w:szCs w:val="28"/>
        </w:rPr>
        <w:t xml:space="preserve"> (далее ЭТП) </w:t>
      </w:r>
      <w:r>
        <w:rPr>
          <w:sz w:val="28"/>
          <w:szCs w:val="28"/>
        </w:rPr>
        <w:t xml:space="preserve">ООО «РТС-тендер» </w:t>
      </w:r>
      <w:hyperlink r:id="rId17" w:tooltip="https://www.rts-tender.ru/" w:history="1">
        <w:r>
          <w:rPr>
            <w:rStyle w:val="934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  <w:shd w:val="clear" w:color="auto" w:fill="ffffff"/>
        </w:rPr>
        <w:t xml:space="preserve">. Регистрация на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 осуществляется без взимания платы.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Регистрации на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 подлежат </w:t>
      </w:r>
      <w:r>
        <w:rPr>
          <w:sz w:val="28"/>
          <w:szCs w:val="28"/>
        </w:rPr>
        <w:t xml:space="preserve">Претенденты, ранее не зарегистрированные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или регистрация которых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была ими прекращена. Регистрация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проводится в соответствии с Регламентом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Оператор электронной площадки вправе в соответствии с </w:t>
      </w:r>
      <w:hyperlink r:id="rId18" w:tooltip="consultantplus://offline/ref=66C80AC672F060AF61B291B7A77E40AF1A03A3E766663D715292C8146D5784480EF3DBA957725202A325F56DC080846393774DA8E5232094rFu2E" w:history="1">
        <w:r>
          <w:rPr>
            <w:rStyle w:val="934"/>
            <w:sz w:val="28"/>
            <w:szCs w:val="28"/>
            <w:shd w:val="clear" w:color="auto" w:fill="ffffff"/>
          </w:rPr>
          <w:t xml:space="preserve">Правилами</w:t>
        </w:r>
      </w:hyperlink>
      <w:r>
        <w:rPr>
          <w:sz w:val="28"/>
          <w:szCs w:val="28"/>
          <w:shd w:val="clear" w:color="auto" w:fill="ffffff"/>
        </w:rPr>
        <w:t xml:space="preserve">, утвержденными постановлением Правительства РФ от 10.05.2018№ 564  "О взимании операторами электро</w:t>
      </w:r>
      <w:r>
        <w:rPr>
          <w:sz w:val="28"/>
          <w:szCs w:val="28"/>
          <w:shd w:val="clear" w:color="auto" w:fill="ffffff"/>
        </w:rPr>
        <w:t xml:space="preserve">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размеров", взимать с победителя аукциона или иного лица, с которыми в соответствии с </w:t>
      </w:r>
      <w:hyperlink r:id="rId19" w:tooltip="consultantplus://offline/ref=66C80AC672F060AF61B291B7A77E40AF1A04AAE76C6C3D715292C8146D5784480EF3DBAE5F7B5957F16AF43184D4976391774FABF9r2u2E" w:history="1">
        <w:r>
          <w:rPr>
            <w:rStyle w:val="934"/>
            <w:sz w:val="28"/>
            <w:szCs w:val="28"/>
            <w:shd w:val="clear" w:color="auto" w:fill="ffffff"/>
          </w:rPr>
          <w:t xml:space="preserve">пунктами 13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20" w:tooltip="consultantplus://offline/ref=66C80AC672F060AF61B291B7A77E40AF1A04AAE76C6C3D715292C8146D5784480EF3DBAE5E725957F16AF43184D4976391774FABF9r2u2E" w:history="1">
        <w:r>
          <w:rPr>
            <w:rStyle w:val="934"/>
            <w:sz w:val="28"/>
            <w:szCs w:val="28"/>
            <w:shd w:val="clear" w:color="auto" w:fill="ffffff"/>
          </w:rPr>
          <w:t xml:space="preserve">14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21" w:tooltip="consultantplus://offline/ref=66C80AC672F060AF61B291B7A77E40AF1A04AAE76C6C3D715292C8146D5784480EF3DBAF57705957F16AF43184D4976391774FABF9r2u2E" w:history="1">
        <w:r>
          <w:rPr>
            <w:rStyle w:val="934"/>
            <w:sz w:val="28"/>
            <w:szCs w:val="28"/>
            <w:shd w:val="clear" w:color="auto" w:fill="ffffff"/>
          </w:rPr>
          <w:t xml:space="preserve">20</w:t>
        </w:r>
      </w:hyperlink>
      <w:r>
        <w:rPr>
          <w:sz w:val="28"/>
          <w:szCs w:val="28"/>
          <w:shd w:val="clear" w:color="auto" w:fill="ffffff"/>
        </w:rPr>
        <w:t xml:space="preserve"> и </w:t>
      </w:r>
      <w:hyperlink r:id="rId22" w:tooltip="consultantplus://offline/ref=66C80AC672F060AF61B291B7A77E40AF1A04AAE76C6C3D715292C8146D5784480EF3DBA957735000A225F56DC080846393774DA8E5232094rFu2E" w:history="1">
        <w:r>
          <w:rPr>
            <w:rStyle w:val="934"/>
            <w:sz w:val="28"/>
            <w:szCs w:val="28"/>
            <w:shd w:val="clear" w:color="auto" w:fill="ffffff"/>
          </w:rPr>
          <w:t xml:space="preserve">25 статьи 39.12</w:t>
        </w:r>
      </w:hyperlink>
      <w:r>
        <w:rPr>
          <w:sz w:val="28"/>
          <w:szCs w:val="28"/>
          <w:shd w:val="clear" w:color="auto" w:fill="ffffff"/>
        </w:rPr>
        <w:t xml:space="preserve"> Земельного кодекса Российской Федерации заключается договор купли-продажи земельного участка плату за участие в аукционе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в размере, установленном регламентом оператора электронной площадки и иными документами, устанавливающие эти тарифы,</w:t>
      </w:r>
      <w:r>
        <w:rPr>
          <w:rFonts w:eastAsia="MS Mincho"/>
          <w:sz w:val="28"/>
          <w:szCs w:val="28"/>
        </w:rPr>
        <w:t xml:space="preserve"> размещенными </w:t>
      </w:r>
      <w:r>
        <w:rPr>
          <w:rFonts w:eastAsia="MS Mincho"/>
          <w:sz w:val="28"/>
          <w:szCs w:val="28"/>
        </w:rPr>
        <w:t xml:space="preserve">на электронной площадке </w:t>
      </w:r>
      <w:r>
        <w:rPr>
          <w:rFonts w:eastAsia="MS Mincho"/>
          <w:sz w:val="28"/>
          <w:szCs w:val="28"/>
        </w:rPr>
        <w:t xml:space="preserve">по адресу в информационно-телекоммуникационной сети «Интернет»: https://www.rts-tender.ru/tariffs/platformproperty-sales-tariffs</w:t>
      </w:r>
      <w:r>
        <w:rPr>
          <w:rFonts w:eastAsia="MS Mincho"/>
          <w:sz w:val="28"/>
          <w:szCs w:val="28"/>
        </w:rPr>
        <w:t xml:space="preserve">.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  <w:r>
        <w:rPr>
          <w:sz w:val="28"/>
          <w:szCs w:val="28"/>
          <w:shd w:val="clear" w:color="auto" w:fill="ffffff"/>
        </w:rPr>
        <w:t xml:space="preserve">(приложение № 1 к извещению) на у</w:t>
      </w:r>
      <w:r>
        <w:rPr>
          <w:sz w:val="28"/>
          <w:szCs w:val="28"/>
        </w:rPr>
        <w:t xml:space="preserve">частие в аукционе подается путем заполнения ее электронной формы</w:t>
      </w:r>
      <w:r>
        <w:rPr>
          <w:sz w:val="28"/>
          <w:szCs w:val="28"/>
        </w:rPr>
        <w:t xml:space="preserve"> с указанием банковских реквизитов счета для возврата задатка и направляется оператору электронной площадки в форме электронного документа с приложением документов, указанных в подпунктах 2 - 4 пунк</w:t>
      </w:r>
      <w:r>
        <w:rPr>
          <w:sz w:val="28"/>
          <w:szCs w:val="28"/>
        </w:rPr>
        <w:t xml:space="preserve">та 1 </w:t>
      </w:r>
      <w:r>
        <w:rPr>
          <w:sz w:val="28"/>
          <w:szCs w:val="28"/>
        </w:rPr>
        <w:t xml:space="preserve">статьи 39.12 ЗК РФ.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Для участия в аукционе заявитель должен представить следующие документы: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Заявку на участие в аукционе по установленной в извещении о проведении </w:t>
      </w:r>
      <w:r>
        <w:rPr>
          <w:sz w:val="28"/>
          <w:szCs w:val="28"/>
        </w:rPr>
        <w:t xml:space="preserve">электронного </w:t>
      </w:r>
      <w:r>
        <w:rPr>
          <w:sz w:val="28"/>
          <w:szCs w:val="28"/>
        </w:rPr>
        <w:t xml:space="preserve">аукциона форме с указанием банковских реквизитов счета для возврата задатка.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Копии документов, удостоверяющих личность заявителя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120" w:before="120"/>
        <w:ind w:right="120" w:firstLine="0" w:left="120"/>
        <w:rPr/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3.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>
        <w:rPr>
          <w:sz w:val="28"/>
          <w:szCs w:val="28"/>
        </w:rPr>
      </w:r>
      <w:r/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Документы, подтверждающие внесение задатка (квитанция об уплате, либо платежное поручение).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от имени Претендента действует его представитель по доверенности, к заявке должна быть приложена </w:t>
      </w:r>
      <w:r>
        <w:rPr>
          <w:sz w:val="28"/>
          <w:szCs w:val="28"/>
        </w:rPr>
        <w:t xml:space="preserve">нотариально заверенная копия </w:t>
      </w:r>
      <w:r>
        <w:rPr>
          <w:sz w:val="28"/>
          <w:szCs w:val="28"/>
        </w:rPr>
        <w:t xml:space="preserve">доверенност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на осуществление действий от имени Претендента, оформленная в установленном порядке.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Заявки подаются на электронную площадку, начиная с даты и времени начала приема заявок до времени и даты окончания приема заявок, указанных в настоящем извещении.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приеме заявок от Претендентов Оператор обеспечивает конфиденциальность данных о Претендентах и участниках, за исключением случая направления электронных документов Организатору, регистрацию заявок и прилагаемых к ним документов в журнале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имеет право отозвать принятую организатором заявку на участие </w:t>
      </w:r>
      <w:r>
        <w:rPr>
          <w:sz w:val="28"/>
          <w:szCs w:val="28"/>
        </w:rPr>
        <w:br/>
        <w:t xml:space="preserve">в аукционе до дня окончания срока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 Порядок внесения задатка участниками аукциона и возврата им задатка, реквизиты счёта для перечисления задатка: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/>
      </w:pPr>
      <w:r>
        <w:rPr>
          <w:sz w:val="28"/>
          <w:szCs w:val="28"/>
        </w:rPr>
        <w:t xml:space="preserve">       Порядок внесения  и возврата задатка о</w:t>
      </w:r>
      <w:r>
        <w:rPr>
          <w:sz w:val="28"/>
          <w:szCs w:val="28"/>
        </w:rPr>
        <w:t xml:space="preserve">существляется в соответствии с условиями аукционной документации. </w:t>
      </w:r>
      <w:r>
        <w:rPr>
          <w:sz w:val="28"/>
          <w:szCs w:val="28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участия в аукционе заявитель вносит Задаток до подачи заявки на участие в аукционе. Задаток определен в размере 20% от начальной цены продажи, что составляет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- 1800 руб. 00 коп. (одна тысяча восемьсот рублей)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)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, который  </w:t>
      </w:r>
      <w:r>
        <w:rPr>
          <w:sz w:val="28"/>
          <w:szCs w:val="28"/>
        </w:rPr>
        <w:t xml:space="preserve">вносится  по следующим реквизитам:</w:t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Получатель: Комитет по финансам админис</w:t>
      </w:r>
      <w:r>
        <w:rPr>
          <w:sz w:val="28"/>
          <w:szCs w:val="28"/>
        </w:rPr>
        <w:t xml:space="preserve">трации Шарьинского муниципального района  (администрация Шарьинского муниципального района Костромской области л/с 05413008190), ИНН 4430001003, КПП 443001001, единый казначейский счет: № 40102810945370000034, казначейский счет: № 03232643346480004100, бан</w:t>
      </w:r>
      <w:r>
        <w:rPr>
          <w:sz w:val="28"/>
          <w:szCs w:val="28"/>
        </w:rPr>
        <w:t xml:space="preserve">к:  Отделение Кострома/ У</w:t>
      </w:r>
      <w:r>
        <w:rPr>
          <w:sz w:val="28"/>
          <w:szCs w:val="28"/>
        </w:rPr>
        <w:t xml:space="preserve">ФК по Костромской области, БИК: 0134691</w:t>
      </w:r>
      <w:r>
        <w:rPr>
          <w:sz w:val="28"/>
          <w:szCs w:val="28"/>
        </w:rPr>
        <w:t xml:space="preserve">26,  код бюджетной классификации 90111406013100000430, ОКТМО 34648000 в графе «Назначение платежа»  указать  «Задаток для участия в аукционе по продаже земельного участка с кадастровым номером 44:24:130101:1048».  Задаток должен поступить на указанный счет </w:t>
      </w:r>
      <w:r>
        <w:rPr>
          <w:b w:val="0"/>
          <w:bCs w:val="0"/>
          <w:sz w:val="28"/>
          <w:szCs w:val="28"/>
        </w:rPr>
        <w:t xml:space="preserve">до  24 октября  2024 года</w:t>
      </w:r>
      <w:r>
        <w:rPr>
          <w:sz w:val="28"/>
          <w:szCs w:val="28"/>
        </w:rPr>
        <w:t xml:space="preserve">.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/>
      </w:pPr>
      <w:r>
        <w:rPr>
          <w:sz w:val="28"/>
          <w:szCs w:val="28"/>
        </w:rPr>
        <w:t xml:space="preserve"> Внесение задатка третьими лицами не допускается.</w:t>
      </w:r>
      <w:r>
        <w:rPr>
          <w:sz w:val="28"/>
          <w:szCs w:val="28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Задаток засчитывается в счет оплаты цены за земельный участок в случаях, если: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-задаток внесен лицом, признанным победителем аукциона; 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задаток внесен лицом, признанным единственным участником аукциона, с которым договор купли-продажи заключается в соответствии с пунктами 13,14, статьи 39.12 Земельного кодекса Российской Федерации;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- за</w:t>
      </w:r>
      <w:r>
        <w:rPr>
          <w:rFonts w:eastAsia="Times New Roman" w:cs="Times New Roman"/>
          <w:sz w:val="28"/>
          <w:szCs w:val="28"/>
          <w:lang w:eastAsia="ar-SA"/>
        </w:rPr>
        <w:t xml:space="preserve">даток внесен лицом, признанным участником аукциона,  и данное лицо является единственным принявшим участие в аукционе участником, с которым договор купли-продажи заключается в соответствии с пунктом 20 статьи 39.12 Земельного кодекса Российской Федерации; 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Задатки, внесенные этими лицами, не заключившими в установленном порядке договоры купли-продажи земельных участков вследствие уклонения от заключения указанных договоров, не возвращаются.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Организатор аукциона обязан возвратить внесенный заявителем задаток: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в течение 3 (трех) рабочих дней со дня оформления  протокола приема заявок на участие в аукционе в случае, если заявитель не допущен к участию в аукционе;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- в течение 3 (трех) рабочих дней со дня подписания протокола о результатах аукциона лицам, участвовавшим в аукционе, но не победившим в нем;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- в течение 3 (трех) рабочих дней со дня регистрации уведомления об отзыве заявки в журнале приема заявок в случае отзыва заявителем заявки на участие в аукционе до признания его участником аукциона.</w:t>
      </w:r>
      <w:r>
        <w:rPr>
          <w:rFonts w:eastAsia="Times New Roman" w:cs="Times New Roman"/>
          <w:lang w:eastAsia="ar-SA"/>
        </w:rPr>
      </w:r>
      <w:r>
        <w:rPr>
          <w:rFonts w:eastAsia="Times New Roman" w:cs="Times New Roman"/>
          <w:lang w:eastAsia="ar-SA"/>
        </w:rPr>
      </w:r>
    </w:p>
    <w:p>
      <w:pPr>
        <w:pBdr/>
        <w:spacing/>
        <w:ind w:firstLine="0"/>
        <w:jc w:val="both"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11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Порядок  Рассмотрения заявок 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    Рассмотрение заявок, принятие решения о допуске к участию в аукционе заявителей или об отказе в допуске, подписание Протокола рассмотрения заявок и  протокола о результатах аукциона осуществляется  аукционной комиссией.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contextualSpacing w:val="true"/>
        <w:jc w:val="both"/>
        <w:rPr/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</w:rPr>
        <w:t xml:space="preserve">определения участников электронного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аукциона: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24 октября </w:t>
      </w:r>
      <w:r>
        <w:rPr>
          <w:b/>
          <w:sz w:val="28"/>
          <w:szCs w:val="28"/>
        </w:rPr>
        <w:t xml:space="preserve">2024 года.</w:t>
      </w:r>
      <w:r>
        <w:t xml:space="preserve"> </w:t>
      </w:r>
      <w:r>
        <w:rPr>
          <w:sz w:val="28"/>
          <w:szCs w:val="28"/>
        </w:rPr>
        <w:t xml:space="preserve"> </w:t>
      </w:r>
      <w:r/>
    </w:p>
    <w:p>
      <w:pPr>
        <w:pBdr/>
        <w:spacing/>
        <w:ind w:firstLine="709"/>
        <w:jc w:val="both"/>
        <w:rPr/>
      </w:pPr>
      <w:r>
        <w:rPr>
          <w:sz w:val="28"/>
          <w:szCs w:val="28"/>
        </w:rPr>
        <w:t xml:space="preserve">В день определения участников аукциона, указанного в извещении о проведении аукциона по продаже </w:t>
      </w:r>
      <w:r>
        <w:rPr>
          <w:sz w:val="28"/>
          <w:szCs w:val="28"/>
        </w:rPr>
        <w:t xml:space="preserve">в собственность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земельных </w:t>
      </w:r>
      <w:r>
        <w:rPr>
          <w:sz w:val="28"/>
          <w:szCs w:val="28"/>
        </w:rPr>
        <w:t xml:space="preserve">участк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в электронной форме, Оператор электронной площадки  через «личный кабинет» Организатора обеспечивает доступ Организатора к поданным Претендентами заявкам и документам, а также к журналу приема заявок.</w:t>
      </w:r>
      <w:r/>
    </w:p>
    <w:p>
      <w:pPr>
        <w:pBdr/>
        <w:spacing/>
        <w:ind w:firstLine="709"/>
        <w:jc w:val="both"/>
        <w:rPr/>
      </w:pPr>
      <w:r>
        <w:rPr>
          <w:sz w:val="28"/>
          <w:szCs w:val="28"/>
        </w:rPr>
        <w:t xml:space="preserve">Аукционная комиссия в день рассмотрения заявок и документов от Претендентов подписывает протокол </w:t>
      </w:r>
      <w:r>
        <w:rPr>
          <w:sz w:val="28"/>
          <w:szCs w:val="28"/>
        </w:rPr>
        <w:t xml:space="preserve">рассмотрения заявок на участие в аукционе</w:t>
      </w:r>
      <w:r>
        <w:rPr>
          <w:sz w:val="28"/>
          <w:szCs w:val="28"/>
        </w:rPr>
        <w:t xml:space="preserve">,</w:t>
      </w:r>
      <w:r/>
    </w:p>
    <w:p>
      <w:pPr>
        <w:pBdr/>
        <w:spacing/>
        <w:ind w:firstLine="709"/>
        <w:jc w:val="both"/>
        <w:rPr/>
      </w:pPr>
      <w:r>
        <w:rPr>
          <w:sz w:val="28"/>
          <w:szCs w:val="28"/>
        </w:rPr>
        <w:t xml:space="preserve">Претендент приобретает статус участника аукциона с момента подписания протокола </w:t>
      </w:r>
      <w:r>
        <w:rPr>
          <w:sz w:val="28"/>
          <w:szCs w:val="28"/>
        </w:rPr>
        <w:t xml:space="preserve">рассмотрения заявок на участие в аукционе</w:t>
      </w:r>
      <w:r>
        <w:rPr>
          <w:sz w:val="28"/>
          <w:szCs w:val="28"/>
        </w:rPr>
        <w:t xml:space="preserve">.</w:t>
      </w:r>
      <w:r/>
    </w:p>
    <w:p>
      <w:pPr>
        <w:pBdr/>
        <w:spacing/>
        <w:ind w:firstLine="709"/>
        <w:contextualSpacing w:val="true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</w:t>
      </w:r>
      <w:r>
        <w:rPr>
          <w:sz w:val="28"/>
          <w:szCs w:val="28"/>
        </w:rPr>
        <w:br/>
        <w:t xml:space="preserve">и размещается на электронной площадке не позднее чем на следующий рабочий день после дня подписания протокола.  Данный протокол после размещения на электронной площадке в автоматическом режиме направляется оператором электрон</w:t>
      </w:r>
      <w:r>
        <w:rPr>
          <w:sz w:val="28"/>
          <w:szCs w:val="28"/>
        </w:rPr>
        <w:t xml:space="preserve">ной площадки для размещения</w:t>
      </w:r>
      <w:r>
        <w:t xml:space="preserve"> </w:t>
      </w:r>
      <w:r>
        <w:rPr>
          <w:sz w:val="28"/>
          <w:szCs w:val="28"/>
        </w:rPr>
        <w:t xml:space="preserve"> на официальном сайте Российской Федерации для  размещения информации о проведении торгов  </w:t>
      </w:r>
      <w:hyperlink r:id="rId23" w:tooltip="http://www.torgi.gov.ru/" w:history="1">
        <w:r>
          <w:rPr>
            <w:rStyle w:val="934"/>
            <w:sz w:val="28"/>
            <w:szCs w:val="28"/>
            <w:lang w:val="en-US" w:bidi="en-US"/>
          </w:rPr>
          <w:t xml:space="preserve">www</w:t>
        </w:r>
        <w:r>
          <w:rPr>
            <w:rStyle w:val="934"/>
            <w:sz w:val="28"/>
            <w:szCs w:val="28"/>
            <w:lang w:bidi="en-US"/>
          </w:rPr>
          <w:t xml:space="preserve">.</w:t>
        </w:r>
        <w:r>
          <w:rPr>
            <w:rStyle w:val="934"/>
            <w:sz w:val="28"/>
            <w:szCs w:val="28"/>
            <w:lang w:val="en-US" w:bidi="en-US"/>
          </w:rPr>
          <w:t xml:space="preserve">torgi</w:t>
        </w:r>
        <w:r>
          <w:rPr>
            <w:rStyle w:val="934"/>
            <w:sz w:val="28"/>
            <w:szCs w:val="28"/>
            <w:lang w:bidi="en-US"/>
          </w:rPr>
          <w:t xml:space="preserve">.</w:t>
        </w:r>
        <w:r>
          <w:rPr>
            <w:rStyle w:val="934"/>
            <w:sz w:val="28"/>
            <w:szCs w:val="28"/>
            <w:lang w:val="en-US" w:bidi="en-US"/>
          </w:rPr>
          <w:t xml:space="preserve">gov</w:t>
        </w:r>
        <w:r>
          <w:rPr>
            <w:rStyle w:val="934"/>
            <w:sz w:val="28"/>
            <w:szCs w:val="28"/>
            <w:lang w:bidi="en-US"/>
          </w:rPr>
          <w:t xml:space="preserve">.</w:t>
        </w:r>
        <w:r>
          <w:rPr>
            <w:rStyle w:val="934"/>
            <w:sz w:val="28"/>
            <w:szCs w:val="28"/>
            <w:lang w:val="en-US" w:bidi="en-US"/>
          </w:rPr>
          <w:t xml:space="preserve">ru</w:t>
        </w:r>
      </w:hyperlink>
      <w:r>
        <w:rPr>
          <w:sz w:val="28"/>
          <w:szCs w:val="28"/>
          <w:lang w:bidi="en-US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851"/>
        </w:tabs>
        <w:spacing/>
        <w:ind w:firstLine="709"/>
        <w:jc w:val="both"/>
        <w:rPr/>
      </w:pPr>
      <w:r>
        <w:rPr>
          <w:sz w:val="28"/>
          <w:szCs w:val="28"/>
        </w:rPr>
        <w:t xml:space="preserve">Заявителям, признанным участниками электронного аукциона, </w:t>
      </w:r>
      <w:r>
        <w:rPr>
          <w:sz w:val="28"/>
          <w:szCs w:val="28"/>
        </w:rPr>
        <w:br/>
        <w:t xml:space="preserve">и заявителям, не допущенным к участию в электронном аукционе, оператор электронной площадки направляет в электронной форме уведомления </w:t>
      </w:r>
      <w:r>
        <w:rPr>
          <w:sz w:val="28"/>
          <w:szCs w:val="28"/>
        </w:rPr>
        <w:br/>
        <w:t xml:space="preserve">о принятых в отношении их решениях не позднее дня, следующего после дня подписания протокола.</w:t>
      </w:r>
      <w:r>
        <w:rPr>
          <w:b/>
          <w:bCs/>
        </w:rPr>
      </w:r>
      <w:r/>
    </w:p>
    <w:p>
      <w:pPr>
        <w:pBdr/>
        <w:spacing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Заявитель не допускается к участию в аукционе аукционной Комиссией в следующих случаях</w:t>
      </w:r>
      <w:r>
        <w:rPr>
          <w:b w:val="0"/>
          <w:bCs w:val="0"/>
          <w:sz w:val="28"/>
          <w:szCs w:val="28"/>
        </w:rPr>
        <w:t xml:space="preserve">: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непредставление необходимых для участия в аукционе документов или представление недостоверных сведений;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непоступление задатка на </w:t>
      </w:r>
      <w:r>
        <w:rPr>
          <w:sz w:val="28"/>
          <w:szCs w:val="28"/>
          <w:shd w:val="clear" w:color="auto" w:fill="ffffff"/>
        </w:rPr>
        <w:t xml:space="preserve">дату рассмотрения заявок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подача заявки на участие в аукционе лицом, которое в соответствии </w:t>
      </w:r>
      <w:r>
        <w:rPr>
          <w:sz w:val="28"/>
          <w:szCs w:val="28"/>
        </w:rPr>
        <w:br/>
        <w:t xml:space="preserve">с действующим законодательством РФ не имеет права быть участником конкретного аукциона, покупателем земельного участка;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наличие свед</w:t>
      </w:r>
      <w:r>
        <w:rPr>
          <w:sz w:val="28"/>
          <w:szCs w:val="28"/>
        </w:rPr>
        <w:t xml:space="preserve">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 . Порядок проведения аукциона в электронной форме: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Процедура аукциона проводится на </w:t>
      </w:r>
      <w:r>
        <w:rPr>
          <w:sz w:val="28"/>
          <w:szCs w:val="28"/>
        </w:rPr>
        <w:t xml:space="preserve">электронной торговой площадке РТС-тендер (</w:t>
      </w:r>
      <w:hyperlink r:id="rId24" w:tooltip="http://www.rts-tender.ru" w:history="1">
        <w:r>
          <w:rPr>
            <w:sz w:val="28"/>
            <w:szCs w:val="28"/>
          </w:rPr>
          <w:t xml:space="preserve">www.rts-tender.ru</w:t>
        </w:r>
      </w:hyperlink>
      <w:r>
        <w:rPr>
          <w:sz w:val="28"/>
          <w:szCs w:val="28"/>
        </w:rPr>
        <w:t xml:space="preserve">)</w:t>
      </w:r>
      <w:r>
        <w:rPr>
          <w:rFonts w:eastAsia="Calibri"/>
          <w:sz w:val="28"/>
          <w:szCs w:val="28"/>
          <w:lang w:eastAsia="en-US"/>
        </w:rPr>
        <w:t xml:space="preserve"> в день и время, указанные в настоящем извещении о проведении аукциона, путем  подтверждения начальной цены аукциона, затем последовательного повышения участниками начальной цены продажи на величину, равную «шагу аукциона».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Со времени начала проведения процедуры аукциона оператором электронной площадки размещается: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а) в открытой части электронной площадки - информация о начале проведения процедуры аукциона с указанием наименования земельного участка, начальной цены и текущего «шага аукциона»;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б) в закрытой части электронной площадки - помимо инф</w:t>
      </w:r>
      <w:r>
        <w:rPr>
          <w:rFonts w:eastAsia="Calibri"/>
          <w:sz w:val="28"/>
          <w:szCs w:val="28"/>
          <w:lang w:eastAsia="en-US"/>
        </w:rPr>
        <w:t xml:space="preserve">ормации, указанной в открытой части электронной площадки, также предложения о цене  земельного участка и время их поступления, величина повышения начальной цены («шаг аукциона»), время, оставшееся до окончания приема предложений о цене 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 течение одного часа со времени начала проведения процедуры аукциона участникам предлагается заявить о покупке земельного участка по начальной цене. В случае если в течение указанного времени: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а) поступило предложение о начальной цене земельного участка, то время для представления следующих предложений об увеличенной на «шаг аукциона» цене земельного участка продлевается на 10 минут со времени </w:t>
      </w:r>
      <w:r>
        <w:rPr>
          <w:rFonts w:eastAsia="Calibri"/>
          <w:sz w:val="28"/>
          <w:szCs w:val="28"/>
          <w:lang w:eastAsia="en-US"/>
        </w:rPr>
        <w:t xml:space="preserve">представления каждого следующего предложения. Если в течение 10 минут после представления последнего предложения о цене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б) не поступило ни одного предложения о начальной цене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земельного участка является время завершения аукциона.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При этом программными средствами электронной площадки обеспечивается: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а) исключение возможности подачи участником предложения о цене земельного участка, не соответствующего увеличению текущей цены на величину «шага аукциона»;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б) уведомление участника в случае, если предложение этого участника о цене земельного участка не может быть принято в связи с подачей аналогичного предложения ранее другим участником.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Победителем аукциона признается участник, предложивший наибольшую цену </w:t>
      </w:r>
      <w:r>
        <w:rPr>
          <w:sz w:val="28"/>
          <w:szCs w:val="28"/>
        </w:rPr>
        <w:t xml:space="preserve">за</w:t>
      </w:r>
      <w:r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 xml:space="preserve">ый</w:t>
      </w:r>
      <w:r>
        <w:rPr>
          <w:sz w:val="28"/>
          <w:szCs w:val="28"/>
        </w:rPr>
        <w:t xml:space="preserve"> участ</w:t>
      </w:r>
      <w:r>
        <w:rPr>
          <w:sz w:val="28"/>
          <w:szCs w:val="28"/>
        </w:rPr>
        <w:t xml:space="preserve">ок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аукциона рассматриваются аукционной комиссией и оформляются протоколом, который подписывается и </w:t>
      </w:r>
      <w:r>
        <w:rPr>
          <w:sz w:val="28"/>
          <w:szCs w:val="28"/>
        </w:rPr>
        <w:t xml:space="preserve">размещается в течение одного рабочего дня со дня подписания данного протокола на электронной площадке.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аукциона считается завершенной с момента подписания Организатором протокола о результатах аукциона.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об итогах аукциона в электронной форме является документом, удостоверяющим право победителя на заключение договора купли-продажи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Аукцион признается несостоявшимся в следующих случаях: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окончании срока подачи заявок на участие в аукционе подана только одна заявка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окончании срока подачи заявок на участие в аукционе не подано ни одной заявки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проведении аукциона не поступило ни одного предложения</w:t>
      </w:r>
      <w:r>
        <w:rPr>
          <w:sz w:val="28"/>
          <w:szCs w:val="28"/>
        </w:rPr>
        <w:t xml:space="preserve">, предусматривающего бы  более высокую цену предмета аукциона, либо в аукционе участвовал  только один участник.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13.  Отмена и приостановление аукциона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Организатор вправе отменить аукцион не позднее, чем за 3 (три) дня до даты проведения аукциона.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25" w:tooltip="http://www.torgi.gov.ru/" w:history="1">
        <w:r>
          <w:rPr>
            <w:rStyle w:val="934"/>
            <w:rFonts w:eastAsia="Calibri"/>
            <w:sz w:val="28"/>
            <w:szCs w:val="28"/>
            <w:lang w:eastAsia="en-US"/>
          </w:rPr>
          <w:t xml:space="preserve">www.torgi.gov.ru</w:t>
        </w:r>
      </w:hyperlink>
      <w:r>
        <w:rPr>
          <w:rFonts w:eastAsia="Calibri"/>
          <w:sz w:val="28"/>
          <w:szCs w:val="28"/>
          <w:lang w:eastAsia="en-US"/>
        </w:rPr>
        <w:t xml:space="preserve">, на официальном сайте в открытой части </w:t>
      </w:r>
      <w:r>
        <w:rPr>
          <w:rFonts w:eastAsia="Calibri"/>
          <w:sz w:val="28"/>
          <w:szCs w:val="28"/>
          <w:lang w:eastAsia="en-US"/>
        </w:rPr>
        <w:t xml:space="preserve">ЭТП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26" w:tooltip="https://www.rts-tender.ru/" w:history="1"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https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://</w:t>
        </w:r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www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.</w:t>
        </w:r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rts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-</w:t>
        </w:r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tender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.</w:t>
        </w:r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ru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/</w:t>
        </w:r>
      </w:hyperlink>
      <w:r>
        <w:rPr>
          <w:rFonts w:eastAsia="Calibri"/>
          <w:sz w:val="28"/>
          <w:szCs w:val="28"/>
          <w:lang w:eastAsia="en-US"/>
        </w:rPr>
        <w:t xml:space="preserve"> в срок не позднее рабочего дня, следующего за днем принятия указанного решения.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7"/>
        <w:pBdr/>
        <w:tabs>
          <w:tab w:val="left" w:leader="none" w:pos="0"/>
          <w:tab w:val="left" w:leader="none" w:pos="708"/>
          <w:tab w:val="left" w:leader="none" w:pos="993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  <w:tab w:val="left" w:leader="none" w:pos="9912"/>
        </w:tabs>
        <w:spacing/>
        <w:ind w:firstLine="567"/>
        <w:rPr>
          <w:rFonts w:eastAsia="Calibri"/>
          <w:b w:val="0"/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val="ru-RU"/>
        </w:rPr>
        <w:t xml:space="preserve">  </w:t>
      </w:r>
      <w:r>
        <w:rPr>
          <w:rFonts w:eastAsia="Calibri"/>
          <w:b w:val="0"/>
          <w:bCs/>
          <w:sz w:val="28"/>
          <w:szCs w:val="28"/>
          <w:lang w:val="ru-RU"/>
        </w:rPr>
        <w:t xml:space="preserve">2</w:t>
      </w:r>
      <w:r>
        <w:rPr>
          <w:rFonts w:eastAsia="Calibri"/>
          <w:b w:val="0"/>
          <w:bCs/>
          <w:sz w:val="28"/>
          <w:szCs w:val="28"/>
          <w:lang w:val="ru-RU"/>
        </w:rPr>
        <w:t xml:space="preserve">.</w:t>
      </w:r>
      <w:r>
        <w:rPr>
          <w:rFonts w:eastAsia="Calibri"/>
          <w:sz w:val="28"/>
          <w:szCs w:val="28"/>
          <w:lang w:val="ru-RU"/>
        </w:rPr>
        <w:tab/>
      </w:r>
      <w:r>
        <w:rPr>
          <w:rFonts w:eastAsia="Calibri"/>
          <w:b w:val="0"/>
          <w:bCs/>
          <w:color w:val="000000"/>
          <w:sz w:val="28"/>
          <w:szCs w:val="28"/>
          <w:lang w:val="ru-RU"/>
        </w:rPr>
        <w:t xml:space="preserve">Электронная площадка извещает Претендентов об отказе Организатора от проведения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  <w:r>
        <w:rPr>
          <w:rFonts w:eastAsia="Calibri"/>
          <w:b w:val="0"/>
          <w:bCs/>
          <w:color w:val="000000"/>
          <w:sz w:val="28"/>
          <w:szCs w:val="28"/>
        </w:rPr>
      </w:r>
      <w:r>
        <w:rPr>
          <w:rFonts w:eastAsia="Calibri"/>
          <w:b w:val="0"/>
          <w:bCs/>
          <w:color w:val="000000"/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3.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Организатор приостанавливает проведение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 </w:t>
      </w:r>
      <w:r>
        <w:rPr>
          <w:rFonts w:eastAsia="Calibri"/>
          <w:sz w:val="28"/>
          <w:szCs w:val="28"/>
          <w:lang w:eastAsia="en-US"/>
        </w:rPr>
        <w:t xml:space="preserve">земельного участка в случае технологического сбоя, зафиксированного программно-аппаратными средствами </w:t>
      </w:r>
      <w:r>
        <w:rPr>
          <w:rFonts w:eastAsia="Calibri"/>
          <w:sz w:val="28"/>
          <w:szCs w:val="28"/>
          <w:lang w:eastAsia="en-US"/>
        </w:rPr>
        <w:t xml:space="preserve">ЭТП</w:t>
      </w:r>
      <w:r>
        <w:rPr>
          <w:rFonts w:eastAsia="Calibri"/>
          <w:sz w:val="28"/>
          <w:szCs w:val="28"/>
          <w:lang w:eastAsia="en-US"/>
        </w:rPr>
        <w:t xml:space="preserve">, но не более чем на одни сутки. Возобновление проведения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</w:t>
      </w:r>
      <w:r>
        <w:rPr>
          <w:rFonts w:eastAsia="Calibri"/>
          <w:sz w:val="28"/>
          <w:szCs w:val="28"/>
          <w:lang w:eastAsia="en-US"/>
        </w:rPr>
        <w:t xml:space="preserve"> земельного участка начинается с того момента, на котором продажа </w:t>
      </w:r>
      <w:r>
        <w:rPr>
          <w:rFonts w:eastAsia="Calibri"/>
          <w:sz w:val="28"/>
          <w:szCs w:val="28"/>
          <w:lang w:eastAsia="en-US"/>
        </w:rPr>
        <w:t xml:space="preserve">предмета аукциона</w:t>
      </w:r>
      <w:r>
        <w:rPr>
          <w:rFonts w:eastAsia="Calibri"/>
          <w:sz w:val="28"/>
          <w:szCs w:val="28"/>
          <w:lang w:eastAsia="en-US"/>
        </w:rPr>
        <w:t xml:space="preserve"> была прервана.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 течение одного часа со времени приостановления проведения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 </w:t>
      </w:r>
      <w:r>
        <w:rPr>
          <w:rFonts w:eastAsia="Calibri"/>
          <w:sz w:val="28"/>
          <w:szCs w:val="28"/>
          <w:lang w:eastAsia="en-US"/>
        </w:rPr>
        <w:t xml:space="preserve">земельного участка организатор размещает на </w:t>
      </w:r>
      <w:r>
        <w:rPr>
          <w:rFonts w:eastAsia="Calibri"/>
          <w:sz w:val="28"/>
          <w:szCs w:val="28"/>
          <w:lang w:eastAsia="en-US"/>
        </w:rPr>
        <w:t xml:space="preserve">ЭТП</w:t>
      </w:r>
      <w:r>
        <w:rPr>
          <w:rFonts w:eastAsia="Calibri"/>
          <w:sz w:val="28"/>
          <w:szCs w:val="28"/>
          <w:lang w:eastAsia="en-US"/>
        </w:rPr>
        <w:t xml:space="preserve"> информацию о причине приостановления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</w:t>
      </w:r>
      <w:r>
        <w:rPr>
          <w:rFonts w:eastAsia="Calibri"/>
          <w:sz w:val="28"/>
          <w:szCs w:val="28"/>
          <w:lang w:eastAsia="en-US"/>
        </w:rPr>
        <w:t xml:space="preserve"> земельного участка, времени приостановления и возобновления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 </w:t>
      </w:r>
      <w:r>
        <w:rPr>
          <w:rFonts w:eastAsia="Calibri"/>
          <w:sz w:val="28"/>
          <w:szCs w:val="28"/>
          <w:lang w:eastAsia="en-US"/>
        </w:rPr>
        <w:t xml:space="preserve">земельного участка, уведомляет об этом участников, а также направляет указанную информацию организатору для внесения в протокол </w:t>
      </w:r>
      <w:r>
        <w:rPr>
          <w:rFonts w:eastAsia="Calibri"/>
          <w:sz w:val="28"/>
          <w:szCs w:val="28"/>
          <w:lang w:eastAsia="en-US"/>
        </w:rPr>
        <w:t xml:space="preserve">о результатах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аукциона по продаже в собственность </w:t>
      </w:r>
      <w:r>
        <w:rPr>
          <w:rFonts w:eastAsia="Calibri"/>
          <w:sz w:val="28"/>
          <w:szCs w:val="28"/>
          <w:lang w:eastAsia="en-US"/>
        </w:rPr>
        <w:t xml:space="preserve">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 Заключение договора купли-продажи земельного участка: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купли-продажи земельного </w:t>
      </w:r>
      <w:r>
        <w:rPr>
          <w:sz w:val="28"/>
          <w:szCs w:val="28"/>
          <w:shd w:val="clear" w:color="auto" w:fill="ffffff"/>
        </w:rPr>
        <w:t xml:space="preserve">участка</w:t>
      </w:r>
      <w:r>
        <w:rPr>
          <w:sz w:val="28"/>
          <w:szCs w:val="28"/>
          <w:shd w:val="clear" w:color="auto" w:fill="ffffff"/>
        </w:rPr>
        <w:t xml:space="preserve"> с победителем аукциона заключается в установленном законодательством порядке не ранее чем через 10 </w:t>
      </w:r>
      <w:r>
        <w:rPr>
          <w:sz w:val="28"/>
          <w:szCs w:val="28"/>
          <w:shd w:val="clear" w:color="auto" w:fill="ffffff"/>
        </w:rPr>
        <w:t xml:space="preserve">(десять) </w:t>
      </w:r>
      <w:r>
        <w:rPr>
          <w:sz w:val="28"/>
          <w:szCs w:val="28"/>
          <w:shd w:val="clear" w:color="auto" w:fill="ffffff"/>
        </w:rPr>
        <w:t xml:space="preserve">дней </w:t>
      </w:r>
      <w:r>
        <w:rPr>
          <w:sz w:val="28"/>
          <w:szCs w:val="28"/>
          <w:shd w:val="clear" w:color="auto" w:fill="ffffff"/>
        </w:rPr>
        <w:t xml:space="preserve">и </w:t>
      </w:r>
      <w:r>
        <w:rPr>
          <w:bCs/>
          <w:sz w:val="28"/>
          <w:szCs w:val="28"/>
        </w:rPr>
        <w:t xml:space="preserve">не позднее 20 (двадцати) дней </w:t>
      </w:r>
      <w:r>
        <w:rPr>
          <w:sz w:val="28"/>
          <w:szCs w:val="28"/>
          <w:shd w:val="clear" w:color="auto" w:fill="ffffff"/>
        </w:rPr>
        <w:t xml:space="preserve">со дня размещения протокола о результатах электронного аукциона на официальном сайте Р</w:t>
      </w:r>
      <w:r>
        <w:rPr>
          <w:sz w:val="28"/>
          <w:szCs w:val="28"/>
        </w:rPr>
        <w:t xml:space="preserve">оссийской Федерации в сети «Интернет».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5076"/>
        </w:tabs>
        <w:spacing/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sz w:val="28"/>
          <w:szCs w:val="28"/>
        </w:rPr>
        <w:t xml:space="preserve"> Передача земельного участка осуществляется по акту приема-передачи, заключаемому в простой письменной форме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зачисления денежных средств на расчетный счет Организатора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2"/>
        <w:pBdr/>
        <w:tabs>
          <w:tab w:val="left" w:leader="none" w:pos="0"/>
          <w:tab w:val="left" w:leader="none" w:pos="993"/>
          <w:tab w:val="left" w:leader="none" w:pos="1134"/>
        </w:tabs>
        <w:spacing/>
        <w:ind w:firstLine="426"/>
        <w:jc w:val="both"/>
        <w:rPr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При отказе или уклонении победителя аукциона от заключения в установленный срок договора купли-продажи земельного участка задаток ему не возвращается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Если договор купли-продаж</w:t>
      </w:r>
      <w:r>
        <w:rPr>
          <w:rFonts w:ascii="Times New Roman" w:hAnsi="Times New Roman"/>
          <w:sz w:val="28"/>
          <w:szCs w:val="28"/>
        </w:rPr>
        <w:t xml:space="preserve">и земельного участка не будет подписан победителем аукциона, возможно заключение договора купли-продажи земельного участка с участником аукциона, который сделал предпоследнее предложение о цене предмета аукциона, по цене, предложенной победителем аукциона.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09"/>
        <w:contextualSpacing w:val="true"/>
        <w:jc w:val="both"/>
        <w:rPr/>
      </w:pPr>
      <w:r>
        <w:rPr>
          <w:sz w:val="28"/>
          <w:szCs w:val="28"/>
        </w:rPr>
        <w:t xml:space="preserve">Нарушение срока подписания договора </w:t>
      </w:r>
      <w:r>
        <w:rPr>
          <w:sz w:val="28"/>
          <w:szCs w:val="28"/>
        </w:rPr>
        <w:t xml:space="preserve">купли-продажи</w:t>
      </w:r>
      <w:r>
        <w:rPr>
          <w:sz w:val="28"/>
          <w:szCs w:val="28"/>
        </w:rPr>
        <w:t xml:space="preserve"> земельного участка считается уклонением от исполнения обязательств. </w:t>
      </w:r>
      <w:r>
        <w:rPr>
          <w:sz w:val="28"/>
          <w:szCs w:val="28"/>
        </w:rPr>
      </w:r>
      <w:r/>
    </w:p>
    <w:p>
      <w:pPr>
        <w:pBdr/>
        <w:spacing/>
        <w:ind w:firstLine="709"/>
        <w:contextualSpacing w:val="true"/>
        <w:jc w:val="both"/>
        <w:rPr/>
      </w:pPr>
      <w:r>
        <w:rPr>
          <w:sz w:val="28"/>
          <w:szCs w:val="28"/>
        </w:rPr>
        <w:t xml:space="preserve">Сведения о победителе аукциона, уклонившемся от заключения договора </w:t>
      </w:r>
      <w:r>
        <w:rPr>
          <w:sz w:val="28"/>
          <w:szCs w:val="28"/>
        </w:rPr>
        <w:t xml:space="preserve">купли-продажи</w:t>
      </w:r>
      <w:r>
        <w:rPr>
          <w:sz w:val="28"/>
          <w:szCs w:val="28"/>
        </w:rPr>
        <w:t xml:space="preserve"> земельного участка, направляются  Управление Федеральной антимонопольной службы для включения в реестр недобросовестных участников аукциона, в соответствии с пунктом 27 статьи 39.12 ЗК РФ. </w:t>
      </w:r>
      <w:r>
        <w:rPr>
          <w:sz w:val="28"/>
          <w:szCs w:val="28"/>
        </w:rPr>
      </w:r>
      <w:r/>
    </w:p>
    <w:p>
      <w:pPr>
        <w:pBdr/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оплаты по договору купли-продажи - безналичная. Заявленная цена оплачивается единовременно в полном объеме по реквизитам: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pBdr/>
        <w:spacing w:line="240" w:lineRule="auto"/>
        <w:ind w:right="0" w:firstLine="0" w:left="0"/>
        <w:rPr>
          <w:rFonts w:cs="Tahoma"/>
        </w:rPr>
      </w:pPr>
      <w:r>
        <w:rPr>
          <w:sz w:val="28"/>
          <w:szCs w:val="28"/>
        </w:rPr>
        <w:t xml:space="preserve"> Получатель платежа – </w:t>
      </w:r>
      <w:r>
        <w:rPr>
          <w:rStyle w:val="971"/>
          <w:rFonts w:eastAsia="Times New Roman" w:cs="Tahoma"/>
          <w:b w:val="0"/>
          <w:bCs w:val="0"/>
          <w:sz w:val="28"/>
          <w:szCs w:val="28"/>
          <w:u w:val="single"/>
        </w:rPr>
        <w:t xml:space="preserve">Получатель: УФК по Костромской области (Администрация Шарьинского муниципального района л/с 04413008190) Банк: ОТДЕЛЕНИЕ КОСТРОМА БАНКА РОССИИ//УФК ПО КОСТРОМСКОЙ ОБЛАСТИ г. Кострома Б</w:t>
      </w:r>
      <w:r>
        <w:rPr>
          <w:rStyle w:val="971"/>
          <w:rFonts w:eastAsia="Times New Roman" w:cs="Tahoma"/>
          <w:b w:val="0"/>
          <w:bCs w:val="0"/>
          <w:sz w:val="28"/>
          <w:szCs w:val="28"/>
          <w:u w:val="single"/>
        </w:rPr>
        <w:t xml:space="preserve">ИК 013469126 Единый казначейский счет 40102810</w:t>
      </w:r>
      <w:r>
        <w:rPr>
          <w:rStyle w:val="971"/>
          <w:rFonts w:eastAsia="Times New Roman" w:cs="Tahoma"/>
          <w:b w:val="0"/>
          <w:bCs w:val="0"/>
          <w:sz w:val="28"/>
          <w:szCs w:val="28"/>
          <w:u w:val="single"/>
        </w:rPr>
        <w:t xml:space="preserve">945370000034  Казначейский счет 03100643000000014100, ИНН 4430001003, КПП 443001001, ОКТМО 34648410  код бюджетной классификации 901 114 06013 05 0000 430, назначение платежа: купля- продажа земельного участка.</w:t>
      </w:r>
      <w:r>
        <w:rPr>
          <w:rFonts w:cs="Tahoma"/>
        </w:rPr>
      </w:r>
      <w:r>
        <w:rPr>
          <w:rFonts w:cs="Tahoma"/>
        </w:rPr>
      </w:r>
    </w:p>
    <w:p>
      <w:pPr>
        <w:pStyle w:val="933"/>
        <w:pBdr/>
        <w:tabs>
          <w:tab w:val="num" w:leader="none" w:pos="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 Сумма заявленной выкупной цены земельного участка не облагается НДС. Оплата заявленной выкупной цены земельного участка третьими лицами не допускается.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15.</w:t>
      </w:r>
      <w:r>
        <w:rPr>
          <w:sz w:val="28"/>
          <w:szCs w:val="28"/>
        </w:rPr>
        <w:t xml:space="preserve"> Дополнительно ознакомиться с формой заявки, проектом договора купли-продажи земельного участка, </w:t>
      </w:r>
      <w:r>
        <w:rPr>
          <w:sz w:val="28"/>
          <w:szCs w:val="28"/>
        </w:rPr>
        <w:t xml:space="preserve"> а также иными дополнительными сведениями можно</w:t>
      </w:r>
      <w:r>
        <w:rPr>
          <w:sz w:val="28"/>
          <w:szCs w:val="28"/>
        </w:rPr>
        <w:t xml:space="preserve"> в комитете по управлению муниципальным имуществом и земельными ресурс</w:t>
      </w:r>
      <w:r>
        <w:rPr>
          <w:sz w:val="28"/>
          <w:szCs w:val="28"/>
        </w:rPr>
        <w:t xml:space="preserve">ами администрации Шарьинского муниципального района (Костромская область, г. Шарья, ул. П.Морозова, д. 20, кабинет 2, телефон 8 (49449) 5-03-40,</w:t>
      </w:r>
      <w:r>
        <w:rPr>
          <w:sz w:val="28"/>
          <w:szCs w:val="28"/>
        </w:rPr>
        <w:t xml:space="preserve"> часы работы  08.00 -17.00, перерыв на обед  с 12.00-13.00.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Глава Шарьинского муниципального района                                               Н.С.Глушаков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 xml:space="preserve">Исполнитель: Чихалева Л.А. ____________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0"/>
          <w:szCs w:val="20"/>
          <w:highlight w:val="none"/>
        </w:rPr>
        <w:t xml:space="preserve">Согласовано: зав. юридическим отделом Ширяева Е.С._____________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426" w:right="566" w:bottom="426" w:left="85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Andale Sans UI">
    <w:panose1 w:val="0200060300000000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OpenSymbol">
    <w:panose1 w:val="05010000000000000000"/>
  </w:font>
  <w:font w:name="Courier New">
    <w:panose1 w:val="02070309020205020404"/>
  </w:font>
  <w:font w:name="Calibri">
    <w:panose1 w:val="020F050202020403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−"/>
      <w:numFmt w:val="bullet"/>
      <w:pPr>
        <w:pBdr/>
        <w:spacing/>
        <w:ind w:hanging="360" w:left="436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15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76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96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1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036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756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7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96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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307"/>
        </w:tabs>
        <w:spacing/>
        <w:ind w:hanging="113" w:left="1193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6">
    <w:lvl w:ilvl="0">
      <w:isLgl w:val="false"/>
      <w:lvlJc w:val="left"/>
      <w:lvlText w:val="-"/>
      <w:numFmt w:val="bullet"/>
      <w:pPr>
        <w:pBdr/>
        <w:tabs>
          <w:tab w:val="num" w:leader="none" w:pos="1740"/>
        </w:tabs>
        <w:spacing/>
        <w:ind w:hanging="360" w:left="174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7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  <w:b/>
      </w:rPr>
      <w:start w:val="1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3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5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6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8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4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5"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360"/>
        </w:tabs>
        <w:spacing/>
        <w:ind w:firstLine="0" w:left="0"/>
      </w:pPr>
      <w:rPr>
        <w:rFonts w:hint="default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7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2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3">
    <w:lvl w:ilvl="0">
      <w:isLgl w:val="false"/>
      <w:lvlJc w:val="left"/>
      <w:lvlText w:val="%1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3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ahoma"/>
        <w:sz w:val="28"/>
        <w:szCs w:val="28"/>
        <w:lang w:val="en-US"/>
      </w:rPr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Symbol" w:hAnsi="Symbol" w:eastAsia="Times New Roman" w:cs="OpenSymbol"/>
        <w:b w:val="0"/>
        <w:bCs w:val="0"/>
        <w:sz w:val="28"/>
        <w:szCs w:val="28"/>
        <w:lang w:eastAsia="ar-SA"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7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imes New Roman"/>
        <w:b w:val="0"/>
        <w:bCs w:val="0"/>
        <w:sz w:val="28"/>
        <w:szCs w:val="28"/>
        <w:lang w:eastAsia="ar-SA"/>
      </w:rPr>
      <w:start w:val="6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8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2.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2.%3.%4.%5.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2.%3.%4.%5.%6.%7.%8.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9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sz w:val="28"/>
        <w:szCs w:val="28"/>
      </w:rPr>
      <w:start w:val="7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num w:numId="1">
    <w:abstractNumId w:val="33"/>
  </w:num>
  <w:num w:numId="2">
    <w:abstractNumId w:val="17"/>
  </w:num>
  <w:num w:numId="3">
    <w:abstractNumId w:val="6"/>
  </w:num>
  <w:num w:numId="4">
    <w:abstractNumId w:val="31"/>
  </w:num>
  <w:num w:numId="5">
    <w:abstractNumId w:val="0"/>
  </w:num>
  <w:num w:numId="6">
    <w:abstractNumId w:val="24"/>
  </w:num>
  <w:num w:numId="7">
    <w:abstractNumId w:val="7"/>
  </w:num>
  <w:num w:numId="8">
    <w:abstractNumId w:val="21"/>
  </w:num>
  <w:num w:numId="9">
    <w:abstractNumId w:val="26"/>
  </w:num>
  <w:num w:numId="10">
    <w:abstractNumId w:val="32"/>
  </w:num>
  <w:num w:numId="11">
    <w:abstractNumId w:val="11"/>
  </w:num>
  <w:num w:numId="12">
    <w:abstractNumId w:val="9"/>
  </w:num>
  <w:num w:numId="13">
    <w:abstractNumId w:val="2"/>
  </w:num>
  <w:num w:numId="14">
    <w:abstractNumId w:val="25"/>
  </w:num>
  <w:num w:numId="15">
    <w:abstractNumId w:val="15"/>
  </w:num>
  <w:num w:numId="16">
    <w:abstractNumId w:val="16"/>
  </w:num>
  <w:num w:numId="17">
    <w:abstractNumId w:val="1"/>
  </w:num>
  <w:num w:numId="18">
    <w:abstractNumId w:val="3"/>
  </w:num>
  <w:num w:numId="19">
    <w:abstractNumId w:val="23"/>
  </w:num>
  <w:num w:numId="20">
    <w:abstractNumId w:val="29"/>
  </w:num>
  <w:num w:numId="21">
    <w:abstractNumId w:val="18"/>
  </w:num>
  <w:num w:numId="22">
    <w:abstractNumId w:val="34"/>
  </w:num>
  <w:num w:numId="23">
    <w:abstractNumId w:val="4"/>
  </w:num>
  <w:num w:numId="24">
    <w:abstractNumId w:val="19"/>
  </w:num>
  <w:num w:numId="25">
    <w:abstractNumId w:val="28"/>
  </w:num>
  <w:num w:numId="26">
    <w:abstractNumId w:val="8"/>
  </w:num>
  <w:num w:numId="27">
    <w:abstractNumId w:val="5"/>
  </w:num>
  <w:num w:numId="28">
    <w:abstractNumId w:val="13"/>
  </w:num>
  <w:num w:numId="29">
    <w:abstractNumId w:val="20"/>
  </w:num>
  <w:num w:numId="30">
    <w:abstractNumId w:val="27"/>
  </w:num>
  <w:num w:numId="31">
    <w:abstractNumId w:val="12"/>
  </w:num>
  <w:num w:numId="32">
    <w:abstractNumId w:val="30"/>
  </w:num>
  <w:num w:numId="33">
    <w:abstractNumId w:val="10"/>
  </w:num>
  <w:num w:numId="34">
    <w:abstractNumId w:val="22"/>
  </w:num>
  <w:num w:numId="35">
    <w:abstractNumId w:val="1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Intense Emphasis"/>
    <w:basedOn w:val="92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49">
    <w:name w:val="Intense Reference"/>
    <w:basedOn w:val="92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0">
    <w:name w:val="Subtle Emphasis"/>
    <w:basedOn w:val="92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1">
    <w:name w:val="Strong"/>
    <w:basedOn w:val="929"/>
    <w:uiPriority w:val="22"/>
    <w:qFormat/>
    <w:pPr>
      <w:pBdr/>
      <w:spacing/>
      <w:ind/>
    </w:pPr>
    <w:rPr>
      <w:b/>
      <w:bCs/>
    </w:rPr>
  </w:style>
  <w:style w:type="character" w:styleId="752">
    <w:name w:val="Subtle Reference"/>
    <w:basedOn w:val="92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53">
    <w:name w:val="Book Title"/>
    <w:basedOn w:val="92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4">
    <w:name w:val="FollowedHyperlink"/>
    <w:basedOn w:val="92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55">
    <w:name w:val="Heading 1"/>
    <w:basedOn w:val="926"/>
    <w:next w:val="926"/>
    <w:link w:val="75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56">
    <w:name w:val="Heading 1 Char"/>
    <w:basedOn w:val="929"/>
    <w:link w:val="75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57">
    <w:name w:val="Heading 2 Char"/>
    <w:basedOn w:val="929"/>
    <w:link w:val="927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58">
    <w:name w:val="Heading 3 Char"/>
    <w:basedOn w:val="929"/>
    <w:link w:val="92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9">
    <w:name w:val="Heading 4"/>
    <w:basedOn w:val="926"/>
    <w:next w:val="926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0">
    <w:name w:val="Heading 4 Char"/>
    <w:basedOn w:val="929"/>
    <w:link w:val="75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61">
    <w:name w:val="Heading 5"/>
    <w:basedOn w:val="926"/>
    <w:next w:val="926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2">
    <w:name w:val="Heading 5 Char"/>
    <w:basedOn w:val="929"/>
    <w:link w:val="76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3">
    <w:name w:val="Heading 6"/>
    <w:basedOn w:val="926"/>
    <w:next w:val="926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4">
    <w:name w:val="Heading 6 Char"/>
    <w:basedOn w:val="929"/>
    <w:link w:val="76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5">
    <w:name w:val="Heading 7"/>
    <w:basedOn w:val="926"/>
    <w:next w:val="926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6">
    <w:name w:val="Heading 7 Char"/>
    <w:basedOn w:val="929"/>
    <w:link w:val="76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7">
    <w:name w:val="Heading 8"/>
    <w:basedOn w:val="926"/>
    <w:next w:val="926"/>
    <w:link w:val="76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8">
    <w:name w:val="Heading 8 Char"/>
    <w:basedOn w:val="929"/>
    <w:link w:val="76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9">
    <w:name w:val="Heading 9"/>
    <w:basedOn w:val="926"/>
    <w:next w:val="926"/>
    <w:link w:val="77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0">
    <w:name w:val="Heading 9 Char"/>
    <w:basedOn w:val="929"/>
    <w:link w:val="76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1">
    <w:name w:val="Title"/>
    <w:basedOn w:val="926"/>
    <w:next w:val="926"/>
    <w:link w:val="772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72">
    <w:name w:val="Title Char"/>
    <w:basedOn w:val="929"/>
    <w:link w:val="771"/>
    <w:uiPriority w:val="10"/>
    <w:pPr>
      <w:pBdr/>
      <w:spacing/>
      <w:ind/>
    </w:pPr>
    <w:rPr>
      <w:sz w:val="48"/>
      <w:szCs w:val="48"/>
    </w:rPr>
  </w:style>
  <w:style w:type="character" w:styleId="773">
    <w:name w:val="Subtitle Char"/>
    <w:basedOn w:val="929"/>
    <w:link w:val="933"/>
    <w:uiPriority w:val="11"/>
    <w:pPr>
      <w:pBdr/>
      <w:spacing/>
      <w:ind/>
    </w:pPr>
    <w:rPr>
      <w:sz w:val="24"/>
      <w:szCs w:val="24"/>
    </w:rPr>
  </w:style>
  <w:style w:type="paragraph" w:styleId="774">
    <w:name w:val="Quote"/>
    <w:basedOn w:val="926"/>
    <w:next w:val="926"/>
    <w:link w:val="775"/>
    <w:uiPriority w:val="29"/>
    <w:qFormat/>
    <w:pPr>
      <w:pBdr/>
      <w:spacing/>
      <w:ind w:right="720" w:left="720"/>
    </w:pPr>
    <w:rPr>
      <w:i/>
    </w:rPr>
  </w:style>
  <w:style w:type="character" w:styleId="775">
    <w:name w:val="Quote Char"/>
    <w:link w:val="774"/>
    <w:uiPriority w:val="29"/>
    <w:pPr>
      <w:pBdr/>
      <w:spacing/>
      <w:ind/>
    </w:pPr>
    <w:rPr>
      <w:i/>
    </w:rPr>
  </w:style>
  <w:style w:type="paragraph" w:styleId="776">
    <w:name w:val="Intense Quote"/>
    <w:basedOn w:val="926"/>
    <w:next w:val="926"/>
    <w:link w:val="77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7">
    <w:name w:val="Intense Quote Char"/>
    <w:link w:val="776"/>
    <w:uiPriority w:val="30"/>
    <w:pPr>
      <w:pBdr/>
      <w:spacing/>
      <w:ind/>
    </w:pPr>
    <w:rPr>
      <w:i/>
    </w:rPr>
  </w:style>
  <w:style w:type="paragraph" w:styleId="778">
    <w:name w:val="Header"/>
    <w:basedOn w:val="926"/>
    <w:link w:val="77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9">
    <w:name w:val="Header Char"/>
    <w:basedOn w:val="929"/>
    <w:link w:val="778"/>
    <w:uiPriority w:val="99"/>
    <w:pPr>
      <w:pBdr/>
      <w:spacing/>
      <w:ind/>
    </w:pPr>
  </w:style>
  <w:style w:type="paragraph" w:styleId="780">
    <w:name w:val="Footer"/>
    <w:basedOn w:val="926"/>
    <w:link w:val="78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1">
    <w:name w:val="Footer Char"/>
    <w:basedOn w:val="929"/>
    <w:link w:val="780"/>
    <w:uiPriority w:val="99"/>
    <w:pPr>
      <w:pBdr/>
      <w:spacing/>
      <w:ind/>
    </w:pPr>
  </w:style>
  <w:style w:type="paragraph" w:styleId="782">
    <w:name w:val="Caption"/>
    <w:basedOn w:val="926"/>
    <w:next w:val="926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83">
    <w:name w:val="Caption Char"/>
    <w:basedOn w:val="782"/>
    <w:link w:val="780"/>
    <w:uiPriority w:val="99"/>
    <w:pPr>
      <w:pBdr/>
      <w:spacing/>
      <w:ind/>
    </w:pPr>
  </w:style>
  <w:style w:type="table" w:styleId="784">
    <w:name w:val="Table Grid Light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1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2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1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2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3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5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6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footnote text"/>
    <w:basedOn w:val="926"/>
    <w:link w:val="91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10">
    <w:name w:val="Footnote Text Char"/>
    <w:link w:val="909"/>
    <w:uiPriority w:val="99"/>
    <w:pPr>
      <w:pBdr/>
      <w:spacing/>
      <w:ind/>
    </w:pPr>
    <w:rPr>
      <w:sz w:val="18"/>
    </w:rPr>
  </w:style>
  <w:style w:type="character" w:styleId="911">
    <w:name w:val="footnote reference"/>
    <w:basedOn w:val="929"/>
    <w:uiPriority w:val="99"/>
    <w:unhideWhenUsed/>
    <w:pPr>
      <w:pBdr/>
      <w:spacing/>
      <w:ind/>
    </w:pPr>
    <w:rPr>
      <w:vertAlign w:val="superscript"/>
    </w:rPr>
  </w:style>
  <w:style w:type="paragraph" w:styleId="912">
    <w:name w:val="endnote text"/>
    <w:basedOn w:val="926"/>
    <w:link w:val="91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3">
    <w:name w:val="Endnote Text Char"/>
    <w:link w:val="912"/>
    <w:uiPriority w:val="99"/>
    <w:pPr>
      <w:pBdr/>
      <w:spacing/>
      <w:ind/>
    </w:pPr>
    <w:rPr>
      <w:sz w:val="20"/>
    </w:rPr>
  </w:style>
  <w:style w:type="character" w:styleId="914">
    <w:name w:val="endnote reference"/>
    <w:basedOn w:val="929"/>
    <w:uiPriority w:val="99"/>
    <w:semiHidden/>
    <w:unhideWhenUsed/>
    <w:pPr>
      <w:pBdr/>
      <w:spacing/>
      <w:ind/>
    </w:pPr>
    <w:rPr>
      <w:vertAlign w:val="superscript"/>
    </w:rPr>
  </w:style>
  <w:style w:type="paragraph" w:styleId="915">
    <w:name w:val="toc 1"/>
    <w:basedOn w:val="926"/>
    <w:next w:val="926"/>
    <w:uiPriority w:val="39"/>
    <w:unhideWhenUsed/>
    <w:pPr>
      <w:pBdr/>
      <w:spacing w:after="57"/>
      <w:ind w:right="0" w:firstLine="0" w:left="0"/>
    </w:pPr>
  </w:style>
  <w:style w:type="paragraph" w:styleId="916">
    <w:name w:val="toc 2"/>
    <w:basedOn w:val="926"/>
    <w:next w:val="926"/>
    <w:uiPriority w:val="39"/>
    <w:unhideWhenUsed/>
    <w:pPr>
      <w:pBdr/>
      <w:spacing w:after="57"/>
      <w:ind w:right="0" w:firstLine="0" w:left="283"/>
    </w:pPr>
  </w:style>
  <w:style w:type="paragraph" w:styleId="917">
    <w:name w:val="toc 3"/>
    <w:basedOn w:val="926"/>
    <w:next w:val="926"/>
    <w:uiPriority w:val="39"/>
    <w:unhideWhenUsed/>
    <w:pPr>
      <w:pBdr/>
      <w:spacing w:after="57"/>
      <w:ind w:right="0" w:firstLine="0" w:left="567"/>
    </w:pPr>
  </w:style>
  <w:style w:type="paragraph" w:styleId="918">
    <w:name w:val="toc 4"/>
    <w:basedOn w:val="926"/>
    <w:next w:val="926"/>
    <w:uiPriority w:val="39"/>
    <w:unhideWhenUsed/>
    <w:pPr>
      <w:pBdr/>
      <w:spacing w:after="57"/>
      <w:ind w:right="0" w:firstLine="0" w:left="850"/>
    </w:pPr>
  </w:style>
  <w:style w:type="paragraph" w:styleId="919">
    <w:name w:val="toc 5"/>
    <w:basedOn w:val="926"/>
    <w:next w:val="926"/>
    <w:uiPriority w:val="39"/>
    <w:unhideWhenUsed/>
    <w:pPr>
      <w:pBdr/>
      <w:spacing w:after="57"/>
      <w:ind w:right="0" w:firstLine="0" w:left="1134"/>
    </w:pPr>
  </w:style>
  <w:style w:type="paragraph" w:styleId="920">
    <w:name w:val="toc 6"/>
    <w:basedOn w:val="926"/>
    <w:next w:val="926"/>
    <w:uiPriority w:val="39"/>
    <w:unhideWhenUsed/>
    <w:pPr>
      <w:pBdr/>
      <w:spacing w:after="57"/>
      <w:ind w:right="0" w:firstLine="0" w:left="1417"/>
    </w:pPr>
  </w:style>
  <w:style w:type="paragraph" w:styleId="921">
    <w:name w:val="toc 7"/>
    <w:basedOn w:val="926"/>
    <w:next w:val="926"/>
    <w:uiPriority w:val="39"/>
    <w:unhideWhenUsed/>
    <w:pPr>
      <w:pBdr/>
      <w:spacing w:after="57"/>
      <w:ind w:right="0" w:firstLine="0" w:left="1701"/>
    </w:pPr>
  </w:style>
  <w:style w:type="paragraph" w:styleId="922">
    <w:name w:val="toc 8"/>
    <w:basedOn w:val="926"/>
    <w:next w:val="926"/>
    <w:uiPriority w:val="39"/>
    <w:unhideWhenUsed/>
    <w:pPr>
      <w:pBdr/>
      <w:spacing w:after="57"/>
      <w:ind w:right="0" w:firstLine="0" w:left="1984"/>
    </w:pPr>
  </w:style>
  <w:style w:type="paragraph" w:styleId="923">
    <w:name w:val="toc 9"/>
    <w:basedOn w:val="926"/>
    <w:next w:val="926"/>
    <w:uiPriority w:val="39"/>
    <w:unhideWhenUsed/>
    <w:pPr>
      <w:pBdr/>
      <w:spacing w:after="57"/>
      <w:ind w:right="0" w:firstLine="0" w:left="2268"/>
    </w:pPr>
  </w:style>
  <w:style w:type="paragraph" w:styleId="924">
    <w:name w:val="TOC Heading"/>
    <w:uiPriority w:val="39"/>
    <w:unhideWhenUsed/>
    <w:pPr>
      <w:pBdr/>
      <w:spacing/>
      <w:ind/>
    </w:pPr>
  </w:style>
  <w:style w:type="paragraph" w:styleId="925">
    <w:name w:val="table of figures"/>
    <w:basedOn w:val="926"/>
    <w:next w:val="926"/>
    <w:uiPriority w:val="99"/>
    <w:unhideWhenUsed/>
    <w:pPr>
      <w:pBdr/>
      <w:spacing w:after="0" w:afterAutospacing="0"/>
      <w:ind/>
    </w:pPr>
  </w:style>
  <w:style w:type="paragraph" w:styleId="926" w:default="1">
    <w:name w:val="Normal"/>
    <w:qFormat/>
    <w:pPr>
      <w:pBdr/>
      <w:spacing/>
      <w:ind/>
    </w:pPr>
  </w:style>
  <w:style w:type="paragraph" w:styleId="927">
    <w:name w:val="Heading 2"/>
    <w:basedOn w:val="926"/>
    <w:next w:val="926"/>
    <w:link w:val="964"/>
    <w:unhideWhenUsed/>
    <w:qFormat/>
    <w:pPr>
      <w:keepNext w:val="true"/>
      <w:pBdr/>
      <w:spacing w:after="60" w:before="240"/>
      <w:ind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928">
    <w:name w:val="Heading 3"/>
    <w:basedOn w:val="926"/>
    <w:next w:val="926"/>
    <w:link w:val="941"/>
    <w:qFormat/>
    <w:pPr>
      <w:keepNext w:val="true"/>
      <w:pBdr/>
      <w:spacing w:after="60" w:before="240"/>
      <w:ind w:hanging="720" w:left="720"/>
      <w:jc w:val="center"/>
      <w:outlineLvl w:val="2"/>
    </w:pPr>
    <w:rPr>
      <w:rFonts w:ascii="Calibri" w:hAnsi="Calibri" w:eastAsia="Calibri" w:cs="Calibri"/>
      <w:b/>
      <w:bCs/>
      <w:sz w:val="28"/>
      <w:szCs w:val="28"/>
    </w:rPr>
  </w:style>
  <w:style w:type="character" w:styleId="929" w:default="1">
    <w:name w:val="Default Paragraph Font"/>
    <w:uiPriority w:val="1"/>
    <w:semiHidden/>
    <w:unhideWhenUsed/>
    <w:pPr>
      <w:pBdr/>
      <w:spacing/>
      <w:ind/>
    </w:pPr>
  </w:style>
  <w:style w:type="table" w:styleId="93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1" w:default="1">
    <w:name w:val="No List"/>
    <w:uiPriority w:val="99"/>
    <w:semiHidden/>
    <w:unhideWhenUsed/>
    <w:pPr>
      <w:pBdr/>
      <w:spacing/>
      <w:ind/>
    </w:pPr>
  </w:style>
  <w:style w:type="paragraph" w:styleId="932">
    <w:name w:val="Plain Text"/>
    <w:basedOn w:val="926"/>
    <w:pPr>
      <w:pBdr/>
      <w:spacing/>
      <w:ind/>
    </w:pPr>
    <w:rPr>
      <w:rFonts w:ascii="Courier New" w:hAnsi="Courier New"/>
    </w:rPr>
  </w:style>
  <w:style w:type="paragraph" w:styleId="933">
    <w:name w:val="Subtitle"/>
    <w:basedOn w:val="926"/>
    <w:qFormat/>
    <w:pPr>
      <w:pBdr/>
      <w:spacing/>
      <w:ind/>
      <w:jc w:val="both"/>
    </w:pPr>
    <w:rPr>
      <w:sz w:val="24"/>
    </w:rPr>
  </w:style>
  <w:style w:type="character" w:styleId="934">
    <w:name w:val="Hyperlink"/>
    <w:pPr>
      <w:pBdr/>
      <w:spacing/>
      <w:ind/>
    </w:pPr>
    <w:rPr>
      <w:color w:val="0000ff"/>
      <w:u w:val="single"/>
    </w:rPr>
  </w:style>
  <w:style w:type="paragraph" w:styleId="935">
    <w:name w:val="Balloon Text"/>
    <w:basedOn w:val="926"/>
    <w:link w:val="936"/>
    <w:pPr>
      <w:pBdr/>
      <w:spacing/>
      <w:ind/>
    </w:pPr>
    <w:rPr>
      <w:rFonts w:ascii="Tahoma" w:hAnsi="Tahoma" w:cs="Tahoma"/>
      <w:sz w:val="16"/>
      <w:szCs w:val="16"/>
    </w:rPr>
  </w:style>
  <w:style w:type="character" w:styleId="936" w:customStyle="1">
    <w:name w:val="Текст выноски Знак"/>
    <w:link w:val="935"/>
    <w:pPr>
      <w:pBdr/>
      <w:spacing/>
      <w:ind/>
    </w:pPr>
    <w:rPr>
      <w:rFonts w:ascii="Tahoma" w:hAnsi="Tahoma" w:cs="Tahoma"/>
      <w:sz w:val="16"/>
      <w:szCs w:val="16"/>
    </w:rPr>
  </w:style>
  <w:style w:type="paragraph" w:styleId="937" w:customStyle="1">
    <w:name w:val="ConsPlusNormal"/>
    <w:link w:val="958"/>
    <w:pPr>
      <w:pBdr/>
      <w:spacing/>
      <w:ind/>
    </w:pPr>
    <w:rPr>
      <w:sz w:val="22"/>
      <w:szCs w:val="22"/>
    </w:rPr>
  </w:style>
  <w:style w:type="paragraph" w:styleId="938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39">
    <w:name w:val="Body Text 2"/>
    <w:basedOn w:val="926"/>
    <w:link w:val="940"/>
    <w:pPr>
      <w:pBdr/>
      <w:spacing/>
      <w:ind/>
      <w:jc w:val="center"/>
    </w:pPr>
    <w:rPr>
      <w:rFonts w:ascii="Arial" w:hAnsi="Arial" w:cs="Arial"/>
      <w:color w:val="000000"/>
      <w:sz w:val="28"/>
      <w:szCs w:val="28"/>
    </w:rPr>
  </w:style>
  <w:style w:type="character" w:styleId="940" w:customStyle="1">
    <w:name w:val="Основной текст 2 Знак"/>
    <w:link w:val="939"/>
    <w:pPr>
      <w:pBdr/>
      <w:spacing/>
      <w:ind/>
    </w:pPr>
    <w:rPr>
      <w:rFonts w:ascii="Arial" w:hAnsi="Arial" w:cs="Arial"/>
      <w:color w:val="000000"/>
      <w:sz w:val="28"/>
      <w:szCs w:val="28"/>
      <w:lang w:val="ru-RU" w:eastAsia="ru-RU" w:bidi="ar-SA"/>
    </w:rPr>
  </w:style>
  <w:style w:type="character" w:styleId="941" w:customStyle="1">
    <w:name w:val="Заголовок 3 Знак"/>
    <w:link w:val="928"/>
    <w:pPr>
      <w:pBdr/>
      <w:spacing/>
      <w:ind/>
    </w:pPr>
    <w:rPr>
      <w:rFonts w:ascii="Calibri" w:hAnsi="Calibri" w:eastAsia="Calibri" w:cs="Calibri"/>
      <w:b/>
      <w:bCs/>
      <w:sz w:val="28"/>
      <w:szCs w:val="28"/>
      <w:lang w:val="ru-RU" w:eastAsia="ru-RU" w:bidi="ar-SA"/>
    </w:rPr>
  </w:style>
  <w:style w:type="paragraph" w:styleId="942" w:customStyle="1">
    <w:name w:val="Абзац списка1"/>
    <w:basedOn w:val="926"/>
    <w:pPr>
      <w:pBdr/>
      <w:spacing/>
      <w:ind w:left="720"/>
    </w:pPr>
    <w:rPr>
      <w:rFonts w:ascii="Calibri" w:hAnsi="Calibri" w:eastAsia="Calibri" w:cs="Calibri"/>
      <w:sz w:val="24"/>
      <w:szCs w:val="24"/>
    </w:rPr>
  </w:style>
  <w:style w:type="paragraph" w:styleId="943" w:customStyle="1">
    <w:name w:val="Табличный_заголовки"/>
    <w:basedOn w:val="926"/>
    <w:pPr>
      <w:keepNext w:val="true"/>
      <w:keepLines w:val="true"/>
      <w:pBdr/>
      <w:spacing/>
      <w:ind/>
      <w:jc w:val="center"/>
    </w:pPr>
    <w:rPr>
      <w:rFonts w:ascii="Calibri" w:hAnsi="Calibri" w:eastAsia="Calibri" w:cs="Calibri"/>
      <w:b/>
      <w:bCs/>
    </w:rPr>
  </w:style>
  <w:style w:type="paragraph" w:styleId="944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 w:cs="Tahoma"/>
      <w:lang w:val="en-US" w:eastAsia="en-US"/>
    </w:rPr>
  </w:style>
  <w:style w:type="paragraph" w:styleId="945" w:customStyle="1">
    <w:name w:val="Без интервала1"/>
    <w:link w:val="946"/>
    <w:pPr>
      <w:pBdr/>
      <w:spacing/>
      <w:ind/>
    </w:pPr>
    <w:rPr>
      <w:rFonts w:ascii="Calibri" w:hAnsi="Calibri"/>
      <w:sz w:val="24"/>
      <w:szCs w:val="24"/>
    </w:rPr>
  </w:style>
  <w:style w:type="character" w:styleId="946" w:customStyle="1">
    <w:name w:val="Без интервала Знак"/>
    <w:link w:val="945"/>
    <w:pPr>
      <w:pBdr/>
      <w:spacing/>
      <w:ind/>
    </w:pPr>
    <w:rPr>
      <w:rFonts w:ascii="Calibri" w:hAnsi="Calibri"/>
      <w:sz w:val="24"/>
      <w:szCs w:val="24"/>
      <w:lang w:val="ru-RU" w:eastAsia="ru-RU" w:bidi="ar-SA"/>
    </w:rPr>
  </w:style>
  <w:style w:type="table" w:styleId="947">
    <w:name w:val="Table Grid"/>
    <w:basedOn w:val="930"/>
    <w:uiPriority w:val="39"/>
    <w:pPr>
      <w:pBdr/>
      <w:spacing/>
      <w:ind/>
    </w:pPr>
    <w:rPr>
      <w:rFonts w:ascii="Calibri" w:hAnsi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48">
    <w:name w:val="Emphasis"/>
    <w:qFormat/>
    <w:pPr>
      <w:pBdr/>
      <w:spacing/>
      <w:ind/>
    </w:pPr>
    <w:rPr>
      <w:rFonts w:cs="Times New Roman"/>
      <w:i/>
      <w:iCs/>
    </w:rPr>
  </w:style>
  <w:style w:type="character" w:styleId="949" w:customStyle="1">
    <w:name w:val="ecattext"/>
    <w:pPr>
      <w:pBdr/>
      <w:spacing/>
      <w:ind/>
    </w:pPr>
    <w:rPr>
      <w:rFonts w:cs="Times New Roman"/>
    </w:rPr>
  </w:style>
  <w:style w:type="paragraph" w:styleId="950">
    <w:name w:val="Body Text Indent 2"/>
    <w:basedOn w:val="926"/>
    <w:pPr>
      <w:pBdr/>
      <w:spacing w:after="120" w:line="480" w:lineRule="auto"/>
      <w:ind w:left="283"/>
    </w:pPr>
  </w:style>
  <w:style w:type="character" w:styleId="951">
    <w:name w:val="annotation reference"/>
    <w:semiHidden/>
    <w:pPr>
      <w:pBdr/>
      <w:spacing/>
      <w:ind/>
    </w:pPr>
    <w:rPr>
      <w:sz w:val="16"/>
      <w:szCs w:val="16"/>
    </w:rPr>
  </w:style>
  <w:style w:type="paragraph" w:styleId="952">
    <w:name w:val="annotation text"/>
    <w:basedOn w:val="926"/>
    <w:link w:val="960"/>
    <w:semiHidden/>
    <w:pPr>
      <w:pBdr/>
      <w:spacing/>
      <w:ind/>
    </w:pPr>
  </w:style>
  <w:style w:type="paragraph" w:styleId="953">
    <w:name w:val="annotation subject"/>
    <w:basedOn w:val="952"/>
    <w:next w:val="952"/>
    <w:semiHidden/>
    <w:pPr>
      <w:pBdr/>
      <w:spacing/>
      <w:ind/>
    </w:pPr>
    <w:rPr>
      <w:b/>
      <w:bCs/>
    </w:rPr>
  </w:style>
  <w:style w:type="character" w:styleId="954" w:customStyle="1">
    <w:name w:val="blk"/>
    <w:pPr>
      <w:pBdr/>
      <w:spacing/>
      <w:ind/>
    </w:pPr>
    <w:rPr>
      <w:rFonts w:cs="Times New Roman"/>
    </w:rPr>
  </w:style>
  <w:style w:type="paragraph" w:styleId="955" w:customStyle="1">
    <w:name w:val="_абзац"/>
    <w:basedOn w:val="926"/>
    <w:link w:val="959"/>
    <w:pPr>
      <w:pBdr/>
      <w:spacing w:line="276" w:lineRule="auto"/>
      <w:ind w:firstLine="709"/>
      <w:jc w:val="both"/>
    </w:pPr>
    <w:rPr>
      <w:rFonts w:ascii="Calibri" w:hAnsi="Calibri" w:cs="Calibri"/>
      <w:sz w:val="24"/>
      <w:szCs w:val="24"/>
    </w:rPr>
  </w:style>
  <w:style w:type="paragraph" w:styleId="956" w:customStyle="1">
    <w:name w:val="Абзац"/>
    <w:basedOn w:val="926"/>
    <w:link w:val="957"/>
    <w:pPr>
      <w:pBdr/>
      <w:spacing w:after="60" w:before="120"/>
      <w:ind w:firstLine="567"/>
      <w:jc w:val="both"/>
    </w:pPr>
    <w:rPr>
      <w:rFonts w:ascii="Calibri" w:hAnsi="Calibri" w:cs="Calibri"/>
      <w:sz w:val="24"/>
      <w:szCs w:val="24"/>
    </w:rPr>
  </w:style>
  <w:style w:type="character" w:styleId="957" w:customStyle="1">
    <w:name w:val="Абзац Знак"/>
    <w:link w:val="956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58" w:customStyle="1">
    <w:name w:val="ConsPlusNormal Знак"/>
    <w:link w:val="937"/>
    <w:pPr>
      <w:pBdr/>
      <w:spacing/>
      <w:ind/>
    </w:pPr>
    <w:rPr>
      <w:sz w:val="22"/>
      <w:szCs w:val="22"/>
      <w:lang w:val="ru-RU" w:eastAsia="ru-RU" w:bidi="ar-SA"/>
    </w:rPr>
  </w:style>
  <w:style w:type="character" w:styleId="959" w:customStyle="1">
    <w:name w:val="_абзац Знак"/>
    <w:link w:val="955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60" w:customStyle="1">
    <w:name w:val="Текст примечания Знак"/>
    <w:link w:val="952"/>
    <w:semiHidden/>
    <w:pPr>
      <w:pBdr/>
      <w:spacing/>
      <w:ind/>
    </w:pPr>
    <w:rPr>
      <w:lang w:val="ru-RU" w:eastAsia="ru-RU" w:bidi="ar-SA"/>
    </w:rPr>
  </w:style>
  <w:style w:type="paragraph" w:styleId="961" w:customStyle="1">
    <w:name w:val="Heading"/>
    <w:pPr>
      <w:pBdr/>
      <w:spacing/>
      <w:ind/>
    </w:pPr>
    <w:rPr>
      <w:rFonts w:ascii="Arial" w:hAnsi="Arial" w:cs="Arial"/>
      <w:b/>
      <w:bCs/>
      <w:sz w:val="22"/>
      <w:szCs w:val="22"/>
    </w:rPr>
  </w:style>
  <w:style w:type="paragraph" w:styleId="962">
    <w:name w:val="No Spacing"/>
    <w:qFormat/>
    <w:pPr>
      <w:pBdr/>
      <w:spacing/>
      <w:ind/>
    </w:pPr>
    <w:rPr>
      <w:rFonts w:ascii="Calibri" w:hAnsi="Calibri"/>
      <w:sz w:val="22"/>
      <w:szCs w:val="22"/>
      <w:lang w:eastAsia="en-US"/>
    </w:rPr>
  </w:style>
  <w:style w:type="paragraph" w:styleId="963">
    <w:name w:val="List Paragraph"/>
    <w:basedOn w:val="926"/>
    <w:qFormat/>
    <w:pPr>
      <w:pBdr/>
      <w:spacing/>
      <w:ind w:left="720"/>
    </w:pPr>
    <w:rPr>
      <w:rFonts w:ascii="Calibri" w:hAnsi="Calibri" w:cs="Calibri"/>
      <w:sz w:val="24"/>
      <w:szCs w:val="24"/>
    </w:rPr>
  </w:style>
  <w:style w:type="character" w:styleId="964" w:customStyle="1">
    <w:name w:val="Заголовок 2 Знак"/>
    <w:link w:val="927"/>
    <w:pPr>
      <w:pBdr/>
      <w:spacing/>
      <w:ind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paragraph" w:styleId="965">
    <w:name w:val="Body Text Indent"/>
    <w:basedOn w:val="926"/>
    <w:link w:val="966"/>
    <w:pPr>
      <w:pBdr/>
      <w:spacing w:after="120"/>
      <w:ind w:left="283"/>
    </w:pPr>
  </w:style>
  <w:style w:type="character" w:styleId="966" w:customStyle="1">
    <w:name w:val="Основной текст с отступом Знак"/>
    <w:basedOn w:val="929"/>
    <w:link w:val="965"/>
    <w:pPr>
      <w:pBdr/>
      <w:spacing/>
      <w:ind/>
    </w:pPr>
  </w:style>
  <w:style w:type="paragraph" w:styleId="967" w:customStyle="1">
    <w:name w:val="rezul"/>
    <w:basedOn w:val="926"/>
    <w:pPr>
      <w:widowControl w:val="false"/>
      <w:pBdr/>
      <w:spacing/>
      <w:ind w:firstLine="283"/>
      <w:jc w:val="both"/>
    </w:pPr>
    <w:rPr>
      <w:b/>
      <w:sz w:val="22"/>
      <w:lang w:val="en-US" w:eastAsia="en-US"/>
    </w:rPr>
  </w:style>
  <w:style w:type="paragraph" w:styleId="968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69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character" w:styleId="970" w:customStyle="1">
    <w:name w:val="Интернет-ссылка"/>
    <w:basedOn w:val="759"/>
    <w:next w:val="760"/>
    <w:pPr>
      <w:pBdr/>
      <w:spacing/>
      <w:ind/>
    </w:pPr>
    <w:rPr>
      <w:color w:val="0000ff"/>
      <w:u w:val="single"/>
    </w:rPr>
  </w:style>
  <w:style w:type="character" w:styleId="971" w:customStyle="1">
    <w:name w:val="T4"/>
    <w:pPr>
      <w:pBdr/>
      <w:spacing/>
      <w:ind/>
    </w:pPr>
    <w:rPr>
      <w:rFonts w:ascii="Times New Roman" w:hAnsi="Times New Roman" w:cs="Times New Roman"/>
      <w:color w:val="000000"/>
      <w:sz w:val="24"/>
      <w:szCs w:val="24"/>
      <w:u w:val="single"/>
      <w:lang w:val="ru-RU"/>
    </w:rPr>
  </w:style>
  <w:style w:type="paragraph" w:styleId="972" w:customStyle="1">
    <w:name w:val="Сноска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360" w:lineRule="auto"/>
      <w:ind w:right="0" w:firstLine="68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973" w:customStyle="1">
    <w:name w:val="Содержимое таблицы"/>
    <w:next w:val="751"/>
    <w:pPr>
      <w:keepNext w:val="false"/>
      <w:keepLines w:val="false"/>
      <w:pageBreakBefore w:val="false"/>
      <w:widowControl w:val="false"/>
      <w:numPr>
        <w:ilvl w:val="0"/>
        <w:numId w:val="0"/>
      </w:numPr>
      <w:suppressLineNumbers w:val="tru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0" w:beforeAutospacing="0" w:line="100" w:lineRule="atLeast"/>
      <w:ind w:right="0" w:firstLine="0" w:left="0"/>
      <w:contextualSpacing w:val="false"/>
      <w:jc w:val="left"/>
    </w:pPr>
    <w:rPr>
      <w:rFonts w:ascii="Times New Roman" w:hAnsi="Times New Roman" w:eastAsia="Andale Sans U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s://www.rts-tender.ru/" TargetMode="External"/><Relationship Id="rId13" Type="http://schemas.openxmlformats.org/officeDocument/2006/relationships/hyperlink" Target="https://www.rts-tender.ru/" TargetMode="External"/><Relationship Id="rId14" Type="http://schemas.openxmlformats.org/officeDocument/2006/relationships/hyperlink" Target="https://www.rts-tender.ru/" TargetMode="External"/><Relationship Id="rId15" Type="http://schemas.openxmlformats.org/officeDocument/2006/relationships/hyperlink" Target="mailto:info@rts-tender.ru" TargetMode="External"/><Relationship Id="rId16" Type="http://schemas.openxmlformats.org/officeDocument/2006/relationships/hyperlink" Target="https://www.rts-tender.ru/" TargetMode="External"/><Relationship Id="rId17" Type="http://schemas.openxmlformats.org/officeDocument/2006/relationships/hyperlink" Target="https://www.rts-tender.ru/" TargetMode="External"/><Relationship Id="rId18" Type="http://schemas.openxmlformats.org/officeDocument/2006/relationships/hyperlink" Target="consultantplus://offline/ref=66C80AC672F060AF61B291B7A77E40AF1A03A3E766663D715292C8146D5784480EF3DBA957725202A325F56DC080846393774DA8E5232094rFu2E" TargetMode="External"/><Relationship Id="rId19" Type="http://schemas.openxmlformats.org/officeDocument/2006/relationships/hyperlink" Target="consultantplus://offline/ref=66C80AC672F060AF61B291B7A77E40AF1A04AAE76C6C3D715292C8146D5784480EF3DBAE5F7B5957F16AF43184D4976391774FABF9r2u2E" TargetMode="External"/><Relationship Id="rId20" Type="http://schemas.openxmlformats.org/officeDocument/2006/relationships/hyperlink" Target="consultantplus://offline/ref=66C80AC672F060AF61B291B7A77E40AF1A04AAE76C6C3D715292C8146D5784480EF3DBAE5E725957F16AF43184D4976391774FABF9r2u2E" TargetMode="External"/><Relationship Id="rId21" Type="http://schemas.openxmlformats.org/officeDocument/2006/relationships/hyperlink" Target="consultantplus://offline/ref=66C80AC672F060AF61B291B7A77E40AF1A04AAE76C6C3D715292C8146D5784480EF3DBAF57705957F16AF43184D4976391774FABF9r2u2E" TargetMode="External"/><Relationship Id="rId22" Type="http://schemas.openxmlformats.org/officeDocument/2006/relationships/hyperlink" Target="consultantplus://offline/ref=66C80AC672F060AF61B291B7A77E40AF1A04AAE76C6C3D715292C8146D5784480EF3DBA957735000A225F56DC080846393774DA8E5232094rFu2E" TargetMode="External"/><Relationship Id="rId23" Type="http://schemas.openxmlformats.org/officeDocument/2006/relationships/hyperlink" Target="http://www.torgi.gov.ru/" TargetMode="External"/><Relationship Id="rId24" Type="http://schemas.openxmlformats.org/officeDocument/2006/relationships/hyperlink" Target="http://www.rts-tender.ru" TargetMode="External"/><Relationship Id="rId25" Type="http://schemas.openxmlformats.org/officeDocument/2006/relationships/hyperlink" Target="http://www.torgi.gov.ru/" TargetMode="External"/><Relationship Id="rId26" Type="http://schemas.openxmlformats.org/officeDocument/2006/relationships/hyperlink" Target="https://www.rts-tender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61FD-15B4-4D97-9DEE-E75DD6E7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УВЕРЖДАЮ:</dc:title>
  <dc:subject/>
  <dc:creator>User04</dc:creator>
  <cp:keywords/>
  <cp:revision>33</cp:revision>
  <dcterms:created xsi:type="dcterms:W3CDTF">2023-05-03T05:29:00Z</dcterms:created>
  <dcterms:modified xsi:type="dcterms:W3CDTF">2024-09-18T07:29:15Z</dcterms:modified>
</cp:coreProperties>
</file>